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F4055" w14:textId="77777777" w:rsidR="001E179A" w:rsidRPr="00FA578A" w:rsidRDefault="001E179A" w:rsidP="001E179A">
      <w:pPr>
        <w:spacing w:before="100" w:beforeAutospacing="1" w:after="100" w:afterAutospacing="1" w:line="240" w:lineRule="auto"/>
        <w:jc w:val="center"/>
        <w:rPr>
          <w:rFonts w:ascii="Calibri" w:eastAsia="Times New Roman" w:hAnsi="Calibri" w:cs="Calibri"/>
          <w:sz w:val="24"/>
          <w:szCs w:val="24"/>
        </w:rPr>
      </w:pPr>
      <w:r>
        <w:rPr>
          <w:rFonts w:ascii="Calibri" w:eastAsia="Times New Roman" w:hAnsi="Calibri" w:cs="Calibri"/>
          <w:sz w:val="24"/>
          <w:szCs w:val="24"/>
        </w:rPr>
        <w:t xml:space="preserve">Proposed Text Amendment </w:t>
      </w:r>
    </w:p>
    <w:p w14:paraId="6C2A3460" w14:textId="77777777" w:rsidR="006A7230" w:rsidRPr="00FA578A" w:rsidRDefault="006A7230" w:rsidP="006A7230">
      <w:pPr>
        <w:pBdr>
          <w:bottom w:val="single" w:sz="6" w:space="1" w:color="auto"/>
        </w:pBdr>
        <w:spacing w:after="0" w:line="240" w:lineRule="auto"/>
        <w:jc w:val="center"/>
        <w:rPr>
          <w:rFonts w:ascii="Calibri" w:eastAsia="Times New Roman" w:hAnsi="Calibri" w:cs="Calibri"/>
          <w:vanish/>
          <w:sz w:val="16"/>
          <w:szCs w:val="16"/>
        </w:rPr>
      </w:pPr>
      <w:r w:rsidRPr="00FA578A">
        <w:rPr>
          <w:rFonts w:ascii="Calibri" w:eastAsia="Times New Roman" w:hAnsi="Calibri" w:cs="Calibri"/>
          <w:vanish/>
          <w:sz w:val="16"/>
          <w:szCs w:val="16"/>
        </w:rPr>
        <w:t>Top of Form</w:t>
      </w:r>
    </w:p>
    <w:p w14:paraId="2A283EFD" w14:textId="77777777" w:rsidR="006A7230" w:rsidRPr="00FA578A" w:rsidRDefault="006A7230" w:rsidP="006A7230">
      <w:pPr>
        <w:pBdr>
          <w:top w:val="single" w:sz="6" w:space="1" w:color="auto"/>
        </w:pBdr>
        <w:spacing w:after="0" w:line="240" w:lineRule="auto"/>
        <w:jc w:val="center"/>
        <w:rPr>
          <w:rFonts w:ascii="Calibri" w:eastAsia="Times New Roman" w:hAnsi="Calibri" w:cs="Calibri"/>
          <w:vanish/>
          <w:sz w:val="16"/>
          <w:szCs w:val="16"/>
        </w:rPr>
      </w:pPr>
      <w:r w:rsidRPr="00FA578A">
        <w:rPr>
          <w:rFonts w:ascii="Calibri" w:eastAsia="Times New Roman" w:hAnsi="Calibri" w:cs="Calibri"/>
          <w:vanish/>
          <w:sz w:val="16"/>
          <w:szCs w:val="16"/>
        </w:rPr>
        <w:t>Bottom of Form</w:t>
      </w:r>
    </w:p>
    <w:p w14:paraId="05FA6C04" w14:textId="5CFBD523" w:rsidR="00E5758B" w:rsidRPr="00CA2181" w:rsidRDefault="006A7230" w:rsidP="00CA2181">
      <w:pPr>
        <w:spacing w:before="100" w:beforeAutospacing="1" w:after="100" w:afterAutospacing="1" w:line="240" w:lineRule="auto"/>
        <w:jc w:val="center"/>
        <w:rPr>
          <w:rFonts w:ascii="Calibri" w:eastAsia="Times New Roman" w:hAnsi="Calibri" w:cs="Calibri"/>
          <w:sz w:val="24"/>
          <w:szCs w:val="24"/>
        </w:rPr>
      </w:pPr>
      <w:r w:rsidRPr="00FA578A">
        <w:rPr>
          <w:rFonts w:ascii="Calibri" w:eastAsia="Times New Roman" w:hAnsi="Calibri" w:cs="Calibri"/>
          <w:sz w:val="24"/>
          <w:szCs w:val="24"/>
        </w:rPr>
        <w:t>Pompano Beach, Florida Zoning Code</w:t>
      </w:r>
    </w:p>
    <w:p w14:paraId="438EBE02" w14:textId="77777777" w:rsidR="00E5758B" w:rsidRPr="00FA578A" w:rsidRDefault="00E5758B" w:rsidP="00E5758B">
      <w:pPr>
        <w:pStyle w:val="Compact"/>
        <w:rPr>
          <w:b/>
          <w:bCs/>
        </w:rPr>
      </w:pPr>
      <w:r w:rsidRPr="00FA578A">
        <w:rPr>
          <w:b/>
          <w:bCs/>
        </w:rPr>
        <w:t>155.3507. LOCAL ACTIVITY CENTER (LAC)</w:t>
      </w:r>
    </w:p>
    <w:p w14:paraId="561C1EC7" w14:textId="77777777" w:rsidR="00E5758B" w:rsidRDefault="00E5758B" w:rsidP="00E5758B">
      <w:pPr>
        <w:pStyle w:val="Compact"/>
      </w:pPr>
      <w:r>
        <w:t> </w:t>
      </w:r>
    </w:p>
    <w:tbl>
      <w:tblPr>
        <w:tblW w:w="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E5758B" w14:paraId="116D7BD8" w14:textId="77777777" w:rsidTr="00485F31">
        <w:tc>
          <w:tcPr>
            <w:tcW w:w="0" w:type="auto"/>
            <w:shd w:val="clear" w:color="auto" w:fill="4472C4" w:themeFill="accent1"/>
            <w:hideMark/>
          </w:tcPr>
          <w:p w14:paraId="0A5B7C9A" w14:textId="72C7E3FA" w:rsidR="00E5758B" w:rsidRPr="00485F31" w:rsidRDefault="00E5758B" w:rsidP="00B93BBF">
            <w:pPr>
              <w:pStyle w:val="Compact"/>
              <w:numPr>
                <w:ilvl w:val="0"/>
                <w:numId w:val="2"/>
              </w:numPr>
              <w:ind w:left="360"/>
              <w:rPr>
                <w:b/>
                <w:bCs/>
                <w:color w:val="FFFFFF" w:themeColor="background1"/>
              </w:rPr>
            </w:pPr>
            <w:r w:rsidRPr="00485F31">
              <w:rPr>
                <w:b/>
                <w:bCs/>
                <w:color w:val="FFFFFF" w:themeColor="background1"/>
              </w:rPr>
              <w:t>Purpose</w:t>
            </w:r>
          </w:p>
          <w:p w14:paraId="0FD5A026" w14:textId="2F55D1B9" w:rsidR="001E179A" w:rsidRPr="00FA578A" w:rsidRDefault="001E179A" w:rsidP="00B93BBF">
            <w:pPr>
              <w:pStyle w:val="Compact"/>
              <w:ind w:left="720"/>
              <w:rPr>
                <w:b/>
                <w:bCs/>
              </w:rPr>
            </w:pPr>
          </w:p>
        </w:tc>
      </w:tr>
      <w:tr w:rsidR="00E5758B" w14:paraId="72483C2E" w14:textId="77777777" w:rsidTr="00485F31">
        <w:tc>
          <w:tcPr>
            <w:tcW w:w="0" w:type="auto"/>
            <w:hideMark/>
          </w:tcPr>
          <w:p w14:paraId="3FA89A23" w14:textId="1118743F" w:rsidR="00E5758B" w:rsidRPr="00251908" w:rsidRDefault="00E5758B">
            <w:pPr>
              <w:pStyle w:val="Compact"/>
              <w:rPr>
                <w:u w:val="single"/>
              </w:rPr>
            </w:pPr>
            <w:r>
              <w:t xml:space="preserve">The Local Activity Center (LAC) district is established and intended to support a balanced mix of land use characterized by compactness, pedestrian friendly design, neighborhood scale and framed by architecture and landscape design appropriate to local history and ecology. Development patterns within LAC </w:t>
            </w:r>
            <w:proofErr w:type="spellStart"/>
            <w:r w:rsidR="00251908" w:rsidRPr="00251908">
              <w:rPr>
                <w:u w:val="single"/>
              </w:rPr>
              <w:t>d</w:t>
            </w:r>
            <w:r w:rsidRPr="00251908">
              <w:rPr>
                <w:strike/>
              </w:rPr>
              <w:t>D</w:t>
            </w:r>
            <w:r>
              <w:t>istrict</w:t>
            </w:r>
            <w:r w:rsidRPr="00251908">
              <w:rPr>
                <w:strike/>
              </w:rPr>
              <w:t>s</w:t>
            </w:r>
            <w:proofErr w:type="spellEnd"/>
            <w:r>
              <w:t xml:space="preserve"> shall generally reflect planning and design principles such as walkable neighborhoods oriented around the five-minute walk, primary orientation towards public transit systems, a centrally located community-serving land use or land uses and greater integration of housing, employment; shopping and recreation at the neighborhood level</w:t>
            </w:r>
            <w:r w:rsidRPr="001F19B1">
              <w:t>.</w:t>
            </w:r>
            <w:r w:rsidR="00251908">
              <w:t xml:space="preserve"> </w:t>
            </w:r>
            <w:r w:rsidR="00251908">
              <w:rPr>
                <w:u w:val="single"/>
              </w:rPr>
              <w:t xml:space="preserve">The property known as John Knox Village </w:t>
            </w:r>
            <w:proofErr w:type="gramStart"/>
            <w:r w:rsidR="00251908">
              <w:rPr>
                <w:u w:val="single"/>
              </w:rPr>
              <w:t>was rezoned</w:t>
            </w:r>
            <w:proofErr w:type="gramEnd"/>
            <w:r w:rsidR="00251908">
              <w:rPr>
                <w:u w:val="single"/>
              </w:rPr>
              <w:t xml:space="preserve"> to LAC on September 23, 2008 via Ordinance 2008-59. </w:t>
            </w:r>
          </w:p>
          <w:p w14:paraId="0F5DA92C" w14:textId="77777777" w:rsidR="005F6DB2" w:rsidRDefault="005F6DB2">
            <w:pPr>
              <w:pStyle w:val="Compact"/>
            </w:pPr>
          </w:p>
          <w:p w14:paraId="3034BD20" w14:textId="5A31B2E3" w:rsidR="001E179A" w:rsidRDefault="001E179A">
            <w:pPr>
              <w:pStyle w:val="Compact"/>
            </w:pPr>
          </w:p>
        </w:tc>
      </w:tr>
      <w:tr w:rsidR="00E5758B" w14:paraId="35341623" w14:textId="77777777" w:rsidTr="00485F31">
        <w:tc>
          <w:tcPr>
            <w:tcW w:w="0" w:type="auto"/>
            <w:shd w:val="clear" w:color="auto" w:fill="4472C4" w:themeFill="accent1"/>
            <w:hideMark/>
          </w:tcPr>
          <w:p w14:paraId="00F4E8F5" w14:textId="4E99B913" w:rsidR="00E5758B" w:rsidRPr="00485F31" w:rsidRDefault="00E5758B" w:rsidP="00B93BBF">
            <w:pPr>
              <w:pStyle w:val="Compact"/>
              <w:numPr>
                <w:ilvl w:val="0"/>
                <w:numId w:val="2"/>
              </w:numPr>
              <w:ind w:left="360"/>
              <w:rPr>
                <w:b/>
                <w:bCs/>
                <w:color w:val="FFFFFF" w:themeColor="background1"/>
              </w:rPr>
            </w:pPr>
            <w:r w:rsidRPr="00485F31">
              <w:rPr>
                <w:b/>
                <w:bCs/>
                <w:color w:val="FFFFFF" w:themeColor="background1"/>
              </w:rPr>
              <w:t>Use standards</w:t>
            </w:r>
          </w:p>
          <w:p w14:paraId="58399C75" w14:textId="1AE5E7A8" w:rsidR="00B93BBF" w:rsidRPr="00FA578A" w:rsidRDefault="00B93BBF" w:rsidP="00B93BBF">
            <w:pPr>
              <w:pStyle w:val="Compact"/>
              <w:rPr>
                <w:b/>
                <w:bCs/>
              </w:rPr>
            </w:pPr>
          </w:p>
        </w:tc>
      </w:tr>
      <w:tr w:rsidR="00E5758B" w14:paraId="428DCC99" w14:textId="77777777" w:rsidTr="00485F31">
        <w:tc>
          <w:tcPr>
            <w:tcW w:w="0" w:type="auto"/>
            <w:hideMark/>
          </w:tcPr>
          <w:p w14:paraId="0F08A86A" w14:textId="55E48037" w:rsidR="00E5758B" w:rsidRPr="00E85A6D" w:rsidRDefault="00E5758B">
            <w:pPr>
              <w:pStyle w:val="Compact"/>
              <w:rPr>
                <w:u w:val="single"/>
              </w:rPr>
            </w:pPr>
            <w:r>
              <w:t xml:space="preserve">See Appendix </w:t>
            </w:r>
            <w:proofErr w:type="gramStart"/>
            <w:r>
              <w:t>A :</w:t>
            </w:r>
            <w:proofErr w:type="gramEnd"/>
            <w:r>
              <w:t xml:space="preserve"> Consolidated Use Table, and use-specific standards in Article 4: Use Standards. </w:t>
            </w:r>
            <w:r w:rsidRPr="00251908">
              <w:rPr>
                <w:strike/>
              </w:rPr>
              <w:t>A list of Permitted and/or Prohibited Uses may be established during the LAC Rezoning process.</w:t>
            </w:r>
            <w:r w:rsidR="00E85A6D">
              <w:rPr>
                <w:strike/>
              </w:rPr>
              <w:t xml:space="preserve"> </w:t>
            </w:r>
            <w:r w:rsidR="00E85A6D">
              <w:rPr>
                <w:u w:val="single"/>
              </w:rPr>
              <w:t xml:space="preserve">A list of Permitted Uses in provided in subsection D below. </w:t>
            </w:r>
          </w:p>
          <w:p w14:paraId="016517C2" w14:textId="77777777" w:rsidR="005F6DB2" w:rsidRDefault="005F6DB2">
            <w:pPr>
              <w:pStyle w:val="Compact"/>
            </w:pPr>
          </w:p>
          <w:p w14:paraId="2A420A31" w14:textId="1133E5EE" w:rsidR="001E179A" w:rsidRDefault="001E179A">
            <w:pPr>
              <w:pStyle w:val="Compact"/>
            </w:pPr>
          </w:p>
        </w:tc>
      </w:tr>
      <w:tr w:rsidR="00E5758B" w14:paraId="69F0EAEA" w14:textId="77777777" w:rsidTr="00485F31">
        <w:tc>
          <w:tcPr>
            <w:tcW w:w="0" w:type="auto"/>
            <w:shd w:val="clear" w:color="auto" w:fill="4472C4" w:themeFill="accent1"/>
            <w:hideMark/>
          </w:tcPr>
          <w:p w14:paraId="54EED868" w14:textId="5AFC5227" w:rsidR="00B93BBF" w:rsidRPr="00485F31" w:rsidRDefault="00E5758B" w:rsidP="005F6DB2">
            <w:pPr>
              <w:pStyle w:val="Compact"/>
              <w:numPr>
                <w:ilvl w:val="0"/>
                <w:numId w:val="2"/>
              </w:numPr>
              <w:ind w:left="360"/>
              <w:rPr>
                <w:b/>
                <w:bCs/>
                <w:color w:val="FFFFFF" w:themeColor="background1"/>
              </w:rPr>
            </w:pPr>
            <w:r w:rsidRPr="00485F31">
              <w:rPr>
                <w:b/>
                <w:bCs/>
                <w:color w:val="FFFFFF" w:themeColor="background1"/>
              </w:rPr>
              <w:t>Intensity, Dimensional, and Development Standards</w:t>
            </w:r>
          </w:p>
        </w:tc>
      </w:tr>
      <w:tr w:rsidR="00E5758B" w14:paraId="0A00C2A2" w14:textId="77777777" w:rsidTr="00485F31">
        <w:tc>
          <w:tcPr>
            <w:tcW w:w="0" w:type="auto"/>
            <w:hideMark/>
          </w:tcPr>
          <w:p w14:paraId="5A710ABE" w14:textId="77777777" w:rsidR="00E5758B" w:rsidRPr="00E85A6D" w:rsidRDefault="00E5758B">
            <w:pPr>
              <w:pStyle w:val="Compact"/>
              <w:rPr>
                <w:strike/>
              </w:rPr>
            </w:pPr>
            <w:r w:rsidRPr="00E85A6D">
              <w:rPr>
                <w:strike/>
              </w:rPr>
              <w:t>Intensity, Dimensional, and Development Standards shall be established during the LAC Rezoning process and may include but not be limited to:</w:t>
            </w:r>
          </w:p>
          <w:p w14:paraId="2ABA2710" w14:textId="77777777" w:rsidR="00E5758B" w:rsidRDefault="00E5758B">
            <w:pPr>
              <w:pStyle w:val="Compact"/>
              <w:rPr>
                <w:strike/>
              </w:rPr>
            </w:pPr>
            <w:r w:rsidRPr="00E85A6D">
              <w:rPr>
                <w:strike/>
              </w:rPr>
              <w:t>Residential Density, Non-Residential Intensity, FAR, Floor Area Per Dwelling Unit, Lot Area, Lot Width, Lot Coverage, Pervious Area, Individual Building Size, Building Height, Setbacks, Access and Circulation, Off-street parking and loading, Landscaping, Fences and Walls, and Building Design.</w:t>
            </w:r>
          </w:p>
          <w:p w14:paraId="3DB5FEE7" w14:textId="7CBEFE5C" w:rsidR="00E85A6D" w:rsidRPr="00E85A6D" w:rsidRDefault="00E85A6D">
            <w:pPr>
              <w:pStyle w:val="Compact"/>
              <w:rPr>
                <w:u w:val="single"/>
              </w:rPr>
            </w:pPr>
            <w:r>
              <w:rPr>
                <w:u w:val="single"/>
              </w:rPr>
              <w:t xml:space="preserve">The Intensity and Dimensional Standards as listed in Table 155.3507.E, Intensity and Dimensional Standards for LAC – John Knox Village, shall apply to the property known as John Knox Village. The Local Activity Center (LAC) district shall comply with ARTICLE 5: DEVELOPMENT STANDARDS unless Development Standards are specified or identified in the adopted Master Plan. </w:t>
            </w:r>
          </w:p>
        </w:tc>
      </w:tr>
    </w:tbl>
    <w:p w14:paraId="5A3764BE" w14:textId="77777777" w:rsidR="00E5758B" w:rsidRDefault="00E5758B" w:rsidP="00E5758B">
      <w:pPr>
        <w:pStyle w:val="Compact"/>
      </w:pPr>
      <w:r>
        <w:t> </w:t>
      </w:r>
    </w:p>
    <w:p w14:paraId="1A20A717" w14:textId="076682BF" w:rsidR="00E5758B" w:rsidRDefault="00E5758B" w:rsidP="00B93BBF">
      <w:pPr>
        <w:pStyle w:val="Compact"/>
        <w:numPr>
          <w:ilvl w:val="0"/>
          <w:numId w:val="2"/>
        </w:numPr>
        <w:ind w:left="360"/>
        <w:rPr>
          <w:b/>
          <w:bCs/>
        </w:rPr>
      </w:pPr>
      <w:r w:rsidRPr="00FA578A">
        <w:rPr>
          <w:b/>
          <w:bCs/>
        </w:rPr>
        <w:t>  Permitted Uses for LAC – John Knox Village</w:t>
      </w:r>
    </w:p>
    <w:p w14:paraId="7B719A17" w14:textId="77777777" w:rsidR="001E179A" w:rsidRPr="00FA578A" w:rsidRDefault="001E179A" w:rsidP="00E5758B">
      <w:pPr>
        <w:pStyle w:val="Compact"/>
        <w:rPr>
          <w:b/>
          <w:bCs/>
        </w:rPr>
      </w:pPr>
    </w:p>
    <w:p w14:paraId="554C5B43" w14:textId="6D560D1A" w:rsidR="005F6DB2" w:rsidRDefault="00E5758B" w:rsidP="005F6DB2">
      <w:pPr>
        <w:pStyle w:val="Compact"/>
        <w:numPr>
          <w:ilvl w:val="0"/>
          <w:numId w:val="3"/>
        </w:numPr>
        <w:rPr>
          <w:b/>
          <w:bCs/>
        </w:rPr>
      </w:pPr>
      <w:r w:rsidRPr="00FA578A">
        <w:rPr>
          <w:b/>
          <w:bCs/>
        </w:rPr>
        <w:lastRenderedPageBreak/>
        <w:t>Permitted Use Categories</w:t>
      </w:r>
    </w:p>
    <w:p w14:paraId="352E694F" w14:textId="66DEC3BF" w:rsidR="005F6DB2" w:rsidRDefault="00E5758B" w:rsidP="005F6DB2">
      <w:pPr>
        <w:pStyle w:val="Compact"/>
        <w:ind w:left="690"/>
      </w:pPr>
      <w:r>
        <w:t>Unless prohibited in Article 4: or specifically prohibited/excepted below, all use types within the following Use Categories are Permitted in the property known as John Knox Village</w:t>
      </w:r>
      <w:r w:rsidRPr="00251908">
        <w:rPr>
          <w:strike/>
        </w:rPr>
        <w:t xml:space="preserve"> which was rezoned to LAC on September 23, 2008, via Ordinance 2008-59</w:t>
      </w:r>
      <w:r w:rsidRPr="001F19B1">
        <w:t xml:space="preserve">. </w:t>
      </w:r>
      <w:r w:rsidRPr="000E4639">
        <w:t>The</w:t>
      </w:r>
      <w:r>
        <w:t xml:space="preserve"> applicable use-specific standards in Article 4: Use Standards shall apply</w:t>
      </w:r>
      <w:r w:rsidR="005F6DB2">
        <w:t>.</w:t>
      </w:r>
    </w:p>
    <w:p w14:paraId="77ADB222" w14:textId="77777777" w:rsidR="005F6DB2" w:rsidRDefault="005F6DB2" w:rsidP="005F6DB2">
      <w:pPr>
        <w:pStyle w:val="Compact"/>
        <w:ind w:left="690"/>
      </w:pPr>
    </w:p>
    <w:p w14:paraId="3C25A31A" w14:textId="70621787" w:rsidR="005F6DB2" w:rsidRPr="005F6DB2" w:rsidRDefault="00E5758B" w:rsidP="005F6DB2">
      <w:pPr>
        <w:pStyle w:val="Compact"/>
        <w:numPr>
          <w:ilvl w:val="0"/>
          <w:numId w:val="5"/>
        </w:numPr>
      </w:pPr>
      <w:r>
        <w:t>Household Living Uses;</w:t>
      </w:r>
    </w:p>
    <w:p w14:paraId="413E8F49" w14:textId="77777777" w:rsidR="005F6DB2" w:rsidRDefault="00E5758B" w:rsidP="005F6DB2">
      <w:pPr>
        <w:pStyle w:val="Compact"/>
        <w:numPr>
          <w:ilvl w:val="0"/>
          <w:numId w:val="5"/>
        </w:numPr>
      </w:pPr>
      <w:r>
        <w:t>Group Living Uses;</w:t>
      </w:r>
    </w:p>
    <w:p w14:paraId="6EEF8EF8" w14:textId="77777777" w:rsidR="005F6DB2" w:rsidRDefault="00E5758B" w:rsidP="005F6DB2">
      <w:pPr>
        <w:pStyle w:val="Compact"/>
        <w:numPr>
          <w:ilvl w:val="0"/>
          <w:numId w:val="5"/>
        </w:numPr>
      </w:pPr>
      <w:r>
        <w:t>Community Service Uses;</w:t>
      </w:r>
    </w:p>
    <w:p w14:paraId="663EEBD4" w14:textId="77777777" w:rsidR="005F6DB2" w:rsidRDefault="00E5758B" w:rsidP="005F6DB2">
      <w:pPr>
        <w:pStyle w:val="Compact"/>
        <w:numPr>
          <w:ilvl w:val="0"/>
          <w:numId w:val="5"/>
        </w:numPr>
      </w:pPr>
      <w:r>
        <w:t>Open Space Uses, except Cemetery or Mausoleum;</w:t>
      </w:r>
    </w:p>
    <w:p w14:paraId="04D0C3CD" w14:textId="77777777" w:rsidR="00914493" w:rsidRDefault="00E5758B" w:rsidP="00914493">
      <w:pPr>
        <w:pStyle w:val="Compact"/>
        <w:numPr>
          <w:ilvl w:val="0"/>
          <w:numId w:val="5"/>
        </w:numPr>
      </w:pPr>
      <w:r>
        <w:t>Eating and Drinking Establishments, except Nightclub;</w:t>
      </w:r>
    </w:p>
    <w:p w14:paraId="6FBCD26F" w14:textId="77777777" w:rsidR="00914493" w:rsidRDefault="00E5758B" w:rsidP="00914493">
      <w:pPr>
        <w:pStyle w:val="Compact"/>
        <w:numPr>
          <w:ilvl w:val="0"/>
          <w:numId w:val="5"/>
        </w:numPr>
      </w:pPr>
      <w:r>
        <w:t>Office Uses, except Contractor's Office;</w:t>
      </w:r>
    </w:p>
    <w:p w14:paraId="296DE017" w14:textId="77777777" w:rsidR="00914493" w:rsidRDefault="00E5758B" w:rsidP="00914493">
      <w:pPr>
        <w:pStyle w:val="Compact"/>
        <w:numPr>
          <w:ilvl w:val="0"/>
          <w:numId w:val="5"/>
        </w:numPr>
      </w:pPr>
      <w:r>
        <w:t>Retail Sales and Service Uses – Personal Services;</w:t>
      </w:r>
    </w:p>
    <w:p w14:paraId="67DEC3E8" w14:textId="77777777" w:rsidR="00914493" w:rsidRDefault="00E5758B" w:rsidP="00914493">
      <w:pPr>
        <w:pStyle w:val="Compact"/>
        <w:numPr>
          <w:ilvl w:val="0"/>
          <w:numId w:val="5"/>
        </w:numPr>
      </w:pPr>
      <w:r>
        <w:t>Retail Sales and Service Uses – Retail Sales; and</w:t>
      </w:r>
    </w:p>
    <w:p w14:paraId="55BC4C30" w14:textId="680E884D" w:rsidR="00E5758B" w:rsidRDefault="00E5758B" w:rsidP="00914493">
      <w:pPr>
        <w:pStyle w:val="Compact"/>
        <w:numPr>
          <w:ilvl w:val="0"/>
          <w:numId w:val="5"/>
        </w:numPr>
      </w:pPr>
      <w:r>
        <w:t>Visitor Accommodation Uses.</w:t>
      </w:r>
    </w:p>
    <w:p w14:paraId="108FD6D4" w14:textId="77777777" w:rsidR="00914493" w:rsidRDefault="00914493" w:rsidP="00914493">
      <w:pPr>
        <w:pStyle w:val="Compact"/>
        <w:ind w:left="1050"/>
      </w:pPr>
    </w:p>
    <w:p w14:paraId="4C269F5F" w14:textId="77777777" w:rsidR="00914493" w:rsidRDefault="00E5758B" w:rsidP="00E5758B">
      <w:pPr>
        <w:pStyle w:val="Compact"/>
        <w:numPr>
          <w:ilvl w:val="0"/>
          <w:numId w:val="3"/>
        </w:numPr>
        <w:rPr>
          <w:b/>
          <w:bCs/>
        </w:rPr>
      </w:pPr>
      <w:r w:rsidRPr="00FA578A">
        <w:rPr>
          <w:b/>
          <w:bCs/>
        </w:rPr>
        <w:t>Permitted Use Types</w:t>
      </w:r>
    </w:p>
    <w:p w14:paraId="74B2D7ED" w14:textId="0B086FA0" w:rsidR="00E5758B" w:rsidRPr="001F19B1" w:rsidRDefault="00E5758B" w:rsidP="00914493">
      <w:pPr>
        <w:pStyle w:val="Compact"/>
        <w:ind w:left="690"/>
      </w:pPr>
      <w:r>
        <w:t xml:space="preserve">In addition to the use categories permitted in subsection 1 above, the following Use Types are </w:t>
      </w:r>
      <w:proofErr w:type="gramStart"/>
      <w:r>
        <w:t>Permitted</w:t>
      </w:r>
      <w:proofErr w:type="gramEnd"/>
      <w:r>
        <w:t xml:space="preserve"> in the property known as John Knox Village</w:t>
      </w:r>
      <w:r w:rsidRPr="00251908">
        <w:rPr>
          <w:strike/>
        </w:rPr>
        <w:t xml:space="preserve"> which was rezoned to LAC on September 23, 2008, via Ordinance 2008-59</w:t>
      </w:r>
      <w:r w:rsidRPr="001F19B1">
        <w:t>:</w:t>
      </w:r>
    </w:p>
    <w:p w14:paraId="66DA0FA7" w14:textId="77777777" w:rsidR="00914493" w:rsidRPr="00914493" w:rsidRDefault="00914493" w:rsidP="00914493">
      <w:pPr>
        <w:pStyle w:val="Compact"/>
        <w:ind w:left="690"/>
        <w:rPr>
          <w:b/>
          <w:bCs/>
        </w:rPr>
      </w:pPr>
    </w:p>
    <w:p w14:paraId="7204A899" w14:textId="77777777" w:rsidR="00914493" w:rsidRDefault="00E5758B" w:rsidP="00914493">
      <w:pPr>
        <w:pStyle w:val="Compact"/>
        <w:numPr>
          <w:ilvl w:val="0"/>
          <w:numId w:val="6"/>
        </w:numPr>
      </w:pPr>
      <w:r>
        <w:t>Medical or Dental Clinic; and</w:t>
      </w:r>
    </w:p>
    <w:p w14:paraId="40E0A572" w14:textId="37C4EA2C" w:rsidR="00E5758B" w:rsidRDefault="00E5758B" w:rsidP="00914493">
      <w:pPr>
        <w:pStyle w:val="Compact"/>
        <w:numPr>
          <w:ilvl w:val="0"/>
          <w:numId w:val="6"/>
        </w:numPr>
      </w:pPr>
      <w:r>
        <w:t>Nursing Home Facility.</w:t>
      </w:r>
    </w:p>
    <w:p w14:paraId="185865BD" w14:textId="77777777" w:rsidR="00914493" w:rsidRDefault="00914493" w:rsidP="00914493">
      <w:pPr>
        <w:pStyle w:val="Compact"/>
        <w:ind w:left="1050"/>
      </w:pPr>
    </w:p>
    <w:p w14:paraId="70B93D32" w14:textId="77777777" w:rsidR="00914493" w:rsidRDefault="00E5758B" w:rsidP="00E5758B">
      <w:pPr>
        <w:pStyle w:val="Compact"/>
        <w:numPr>
          <w:ilvl w:val="0"/>
          <w:numId w:val="3"/>
        </w:numPr>
        <w:rPr>
          <w:b/>
          <w:bCs/>
        </w:rPr>
      </w:pPr>
      <w:r w:rsidRPr="00FA578A">
        <w:rPr>
          <w:b/>
          <w:bCs/>
        </w:rPr>
        <w:t>Prohibited Uses</w:t>
      </w:r>
    </w:p>
    <w:p w14:paraId="4A3B9F73" w14:textId="0CD0E901" w:rsidR="00E5758B" w:rsidRPr="001F19B1" w:rsidRDefault="00E5758B" w:rsidP="00914493">
      <w:pPr>
        <w:pStyle w:val="Compact"/>
        <w:ind w:left="690"/>
      </w:pPr>
      <w:r>
        <w:t>Use Categories and Types not listed as permitted in subsections 1 or 2 above, are prohibited in the property known as John Knox Village</w:t>
      </w:r>
      <w:r w:rsidRPr="001F19B1">
        <w:t xml:space="preserve"> </w:t>
      </w:r>
      <w:r w:rsidR="00251908">
        <w:rPr>
          <w:u w:val="single"/>
        </w:rPr>
        <w:t>unless it is demonstrated that the unidentified use is an ancillary use, as defined in accordance with Subsection E below.</w:t>
      </w:r>
      <w:r w:rsidR="00251908">
        <w:t xml:space="preserve"> </w:t>
      </w:r>
      <w:r w:rsidRPr="00251908">
        <w:rPr>
          <w:strike/>
        </w:rPr>
        <w:t>which was rezoned to LAC on September 23, 2008, via Ordinance 2008-59.</w:t>
      </w:r>
    </w:p>
    <w:p w14:paraId="4386A9CA" w14:textId="77777777" w:rsidR="00914493" w:rsidRPr="00914493" w:rsidRDefault="00914493" w:rsidP="00914493">
      <w:pPr>
        <w:pStyle w:val="Compact"/>
        <w:ind w:left="690"/>
        <w:rPr>
          <w:b/>
          <w:bCs/>
        </w:rPr>
      </w:pPr>
    </w:p>
    <w:p w14:paraId="07589B67" w14:textId="77777777" w:rsidR="00914493" w:rsidRDefault="00E5758B" w:rsidP="00E5758B">
      <w:pPr>
        <w:pStyle w:val="Compact"/>
        <w:numPr>
          <w:ilvl w:val="0"/>
          <w:numId w:val="2"/>
        </w:numPr>
        <w:ind w:left="360"/>
        <w:rPr>
          <w:b/>
          <w:bCs/>
        </w:rPr>
      </w:pPr>
      <w:r w:rsidRPr="00914493">
        <w:rPr>
          <w:b/>
          <w:bCs/>
        </w:rPr>
        <w:t>Intensity and Dimensional Standards for LAC - John Knox Village</w:t>
      </w:r>
    </w:p>
    <w:p w14:paraId="5CC73B86" w14:textId="1408AEF2" w:rsidR="00E5758B" w:rsidRPr="001F19B1" w:rsidRDefault="00E5758B" w:rsidP="00914493">
      <w:pPr>
        <w:pStyle w:val="Compact"/>
        <w:ind w:left="360"/>
        <w:rPr>
          <w:b/>
          <w:bCs/>
        </w:rPr>
      </w:pPr>
      <w:r>
        <w:t xml:space="preserve">The Intensity and Dimensional Standards as listed in Table 155.3507.E, Intensity and Dimensional Standards for LAC - John Knox Village, shall apply to the property known as John Knox </w:t>
      </w:r>
      <w:proofErr w:type="gramStart"/>
      <w:r>
        <w:t>Village</w:t>
      </w:r>
      <w:r w:rsidRPr="00251908">
        <w:rPr>
          <w:strike/>
        </w:rPr>
        <w:t xml:space="preserve"> which</w:t>
      </w:r>
      <w:proofErr w:type="gramEnd"/>
      <w:r w:rsidRPr="00251908">
        <w:rPr>
          <w:strike/>
        </w:rPr>
        <w:t xml:space="preserve"> was rezoned to LAC on September 23, 2008, via Ordinance 2008-59</w:t>
      </w:r>
      <w:r w:rsidRPr="001F19B1">
        <w:t>.</w:t>
      </w:r>
    </w:p>
    <w:p w14:paraId="624361B7" w14:textId="77777777" w:rsidR="00E5758B" w:rsidRDefault="00E5758B" w:rsidP="00E5758B">
      <w:pPr>
        <w:pStyle w:val="Compact"/>
      </w:pPr>
    </w:p>
    <w:p w14:paraId="4E0881BF" w14:textId="77777777" w:rsidR="00E5758B" w:rsidRDefault="00E5758B" w:rsidP="00E5758B">
      <w:pPr>
        <w:pStyle w:val="Compact"/>
      </w:pPr>
      <w:r>
        <w:t>TABLE 155.3507.E: INTENSITY AND DIMENSIONAL STANDARDS FOR LAC - JOHN KNOX VILLAGE</w:t>
      </w:r>
    </w:p>
    <w:p w14:paraId="3766552D" w14:textId="77777777" w:rsidR="00E5758B" w:rsidRDefault="00E5758B" w:rsidP="00E5758B">
      <w:pPr>
        <w:pStyle w:val="Compact"/>
      </w:pPr>
      <w:r>
        <w:t xml:space="preserve">Note: This table is best viewed in PDF, click </w:t>
      </w:r>
      <w:hyperlink r:id="rId8" w:history="1">
        <w:r>
          <w:rPr>
            <w:rStyle w:val="Hyperlink"/>
          </w:rPr>
          <w:t>HERE</w:t>
        </w:r>
      </w:hyperlink>
    </w:p>
    <w:p w14:paraId="6BDE828D" w14:textId="77777777" w:rsidR="00E5758B" w:rsidRDefault="00E5758B" w:rsidP="00E5758B">
      <w:pPr>
        <w:pStyle w:val="Compact"/>
      </w:pPr>
      <w:r>
        <w:t> </w:t>
      </w:r>
    </w:p>
    <w:p w14:paraId="398F189F" w14:textId="06D3A51E" w:rsidR="00EC47A9" w:rsidRDefault="00EC47A9" w:rsidP="00EC47A9">
      <w:pPr>
        <w:pStyle w:val="BodyText"/>
        <w:kinsoku w:val="0"/>
        <w:overflowPunct w:val="0"/>
        <w:ind w:left="2504"/>
        <w:rPr>
          <w:rFonts w:ascii="Times New Roman" w:hAnsi="Times New Roman" w:cs="Times New Roman"/>
          <w:b/>
          <w:bCs/>
        </w:rPr>
      </w:pPr>
    </w:p>
    <w:tbl>
      <w:tblPr>
        <w:tblW w:w="0" w:type="auto"/>
        <w:tblInd w:w="118" w:type="dxa"/>
        <w:tblLayout w:type="fixed"/>
        <w:tblCellMar>
          <w:left w:w="0" w:type="dxa"/>
          <w:right w:w="0" w:type="dxa"/>
        </w:tblCellMar>
        <w:tblLook w:val="0000" w:firstRow="0" w:lastRow="0" w:firstColumn="0" w:lastColumn="0" w:noHBand="0" w:noVBand="0"/>
      </w:tblPr>
      <w:tblGrid>
        <w:gridCol w:w="4982"/>
        <w:gridCol w:w="4963"/>
      </w:tblGrid>
      <w:tr w:rsidR="00EC47A9" w14:paraId="24AFD3B8" w14:textId="77777777" w:rsidTr="00A5659B">
        <w:trPr>
          <w:trHeight w:val="411"/>
        </w:trPr>
        <w:tc>
          <w:tcPr>
            <w:tcW w:w="9945" w:type="dxa"/>
            <w:gridSpan w:val="2"/>
            <w:tcBorders>
              <w:top w:val="single" w:sz="4" w:space="0" w:color="auto"/>
              <w:left w:val="single" w:sz="4" w:space="0" w:color="auto"/>
              <w:bottom w:val="single" w:sz="4" w:space="0" w:color="auto"/>
              <w:right w:val="single" w:sz="4" w:space="0" w:color="auto"/>
            </w:tcBorders>
            <w:shd w:val="clear" w:color="auto" w:fill="197FE2"/>
          </w:tcPr>
          <w:p w14:paraId="352B9267" w14:textId="639C470B" w:rsidR="003C5C89" w:rsidRPr="00485F31" w:rsidRDefault="003C5C89" w:rsidP="003C5C89">
            <w:pPr>
              <w:pStyle w:val="BodyText"/>
              <w:kinsoku w:val="0"/>
              <w:overflowPunct w:val="0"/>
              <w:spacing w:before="41" w:line="283" w:lineRule="auto"/>
              <w:ind w:right="15"/>
              <w:jc w:val="center"/>
              <w:rPr>
                <w:b/>
                <w:color w:val="FFFFFF"/>
              </w:rPr>
            </w:pPr>
            <w:r w:rsidRPr="00485F31">
              <w:rPr>
                <w:b/>
                <w:color w:val="FFFFFF"/>
              </w:rPr>
              <w:lastRenderedPageBreak/>
              <w:t>TABLE 155.3507.E: INTENSITY AND DIMENSIONAL</w:t>
            </w:r>
          </w:p>
          <w:p w14:paraId="24E1214B" w14:textId="00721F68" w:rsidR="003C5C89" w:rsidRPr="00485F31" w:rsidRDefault="003C5C89" w:rsidP="003C5C89">
            <w:pPr>
              <w:pStyle w:val="BodyText"/>
              <w:kinsoku w:val="0"/>
              <w:overflowPunct w:val="0"/>
              <w:spacing w:before="41" w:line="283" w:lineRule="auto"/>
              <w:ind w:right="15"/>
              <w:jc w:val="center"/>
              <w:rPr>
                <w:b/>
                <w:color w:val="FFFFFF"/>
              </w:rPr>
            </w:pPr>
            <w:r w:rsidRPr="00485F31">
              <w:rPr>
                <w:b/>
                <w:color w:val="FFFFFF"/>
              </w:rPr>
              <w:t>STANDARDS FOR LAC - JOHN KNOX VILLAGE</w:t>
            </w:r>
          </w:p>
          <w:p w14:paraId="41B054BE" w14:textId="2E019E55" w:rsidR="00EC47A9" w:rsidRDefault="00EC47A9">
            <w:pPr>
              <w:pStyle w:val="TableParagraph"/>
              <w:kinsoku w:val="0"/>
              <w:overflowPunct w:val="0"/>
              <w:spacing w:before="105"/>
              <w:rPr>
                <w:b/>
                <w:bCs/>
                <w:color w:val="FFFFFF"/>
                <w:sz w:val="16"/>
                <w:szCs w:val="16"/>
                <w:vertAlign w:val="superscript"/>
              </w:rPr>
            </w:pPr>
          </w:p>
        </w:tc>
      </w:tr>
      <w:tr w:rsidR="003C5C89" w14:paraId="00EB6C91" w14:textId="77777777" w:rsidTr="00A5659B">
        <w:trPr>
          <w:trHeight w:val="411"/>
        </w:trPr>
        <w:tc>
          <w:tcPr>
            <w:tcW w:w="9945" w:type="dxa"/>
            <w:gridSpan w:val="2"/>
            <w:tcBorders>
              <w:top w:val="single" w:sz="4" w:space="0" w:color="auto"/>
              <w:left w:val="single" w:sz="8" w:space="0" w:color="000000"/>
              <w:bottom w:val="single" w:sz="8" w:space="0" w:color="000000"/>
              <w:right w:val="single" w:sz="8" w:space="0" w:color="000000"/>
            </w:tcBorders>
            <w:shd w:val="clear" w:color="auto" w:fill="197FE2"/>
          </w:tcPr>
          <w:p w14:paraId="20308858" w14:textId="0F23ECD6" w:rsidR="003C5C89" w:rsidRDefault="003C5C89" w:rsidP="003C5C89">
            <w:pPr>
              <w:pStyle w:val="TableParagraph"/>
              <w:kinsoku w:val="0"/>
              <w:overflowPunct w:val="0"/>
              <w:spacing w:before="105"/>
              <w:jc w:val="center"/>
              <w:rPr>
                <w:b/>
                <w:bCs/>
                <w:color w:val="FFFFFF"/>
                <w:sz w:val="20"/>
                <w:szCs w:val="20"/>
              </w:rPr>
            </w:pPr>
            <w:r>
              <w:rPr>
                <w:b/>
                <w:bCs/>
                <w:color w:val="FFFFFF"/>
                <w:sz w:val="20"/>
                <w:szCs w:val="20"/>
              </w:rPr>
              <w:t>I</w:t>
            </w:r>
            <w:r>
              <w:rPr>
                <w:b/>
                <w:bCs/>
                <w:color w:val="FFFFFF"/>
                <w:sz w:val="16"/>
                <w:szCs w:val="16"/>
              </w:rPr>
              <w:t xml:space="preserve">NTENSITY AND </w:t>
            </w:r>
            <w:r>
              <w:rPr>
                <w:b/>
                <w:bCs/>
                <w:color w:val="FFFFFF"/>
                <w:sz w:val="20"/>
                <w:szCs w:val="20"/>
              </w:rPr>
              <w:t>D</w:t>
            </w:r>
            <w:r>
              <w:rPr>
                <w:b/>
                <w:bCs/>
                <w:color w:val="FFFFFF"/>
                <w:sz w:val="16"/>
                <w:szCs w:val="16"/>
              </w:rPr>
              <w:t xml:space="preserve">IMENSIONAL </w:t>
            </w:r>
            <w:r>
              <w:rPr>
                <w:b/>
                <w:bCs/>
                <w:color w:val="FFFFFF"/>
                <w:sz w:val="20"/>
                <w:szCs w:val="20"/>
              </w:rPr>
              <w:t>S</w:t>
            </w:r>
            <w:r>
              <w:rPr>
                <w:b/>
                <w:bCs/>
                <w:color w:val="FFFFFF"/>
                <w:sz w:val="16"/>
                <w:szCs w:val="16"/>
              </w:rPr>
              <w:t xml:space="preserve">TANDARDS </w:t>
            </w:r>
            <w:r>
              <w:rPr>
                <w:b/>
                <w:bCs/>
                <w:color w:val="FFFFFF"/>
                <w:sz w:val="16"/>
                <w:szCs w:val="16"/>
                <w:vertAlign w:val="superscript"/>
              </w:rPr>
              <w:t>1</w:t>
            </w:r>
          </w:p>
        </w:tc>
      </w:tr>
      <w:tr w:rsidR="00EC47A9" w14:paraId="571AED66"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0859F364" w14:textId="424F0713" w:rsidR="00EC47A9" w:rsidRDefault="00EC47A9" w:rsidP="00843B78">
            <w:pPr>
              <w:pStyle w:val="TableParagraph"/>
              <w:kinsoku w:val="0"/>
              <w:overflowPunct w:val="0"/>
              <w:rPr>
                <w:sz w:val="20"/>
                <w:szCs w:val="20"/>
              </w:rPr>
            </w:pPr>
            <w:r>
              <w:rPr>
                <w:sz w:val="20"/>
                <w:szCs w:val="20"/>
              </w:rPr>
              <w:t xml:space="preserve">District area, minimum </w:t>
            </w:r>
            <w:r w:rsidRPr="00E85A6D">
              <w:rPr>
                <w:strike/>
                <w:sz w:val="20"/>
                <w:szCs w:val="20"/>
              </w:rPr>
              <w:t>(gross acres)</w:t>
            </w:r>
          </w:p>
        </w:tc>
        <w:tc>
          <w:tcPr>
            <w:tcW w:w="4963" w:type="dxa"/>
            <w:tcBorders>
              <w:top w:val="single" w:sz="8" w:space="0" w:color="000000"/>
              <w:left w:val="single" w:sz="8" w:space="0" w:color="000000"/>
              <w:bottom w:val="single" w:sz="8" w:space="0" w:color="000000"/>
              <w:right w:val="single" w:sz="8" w:space="0" w:color="000000"/>
            </w:tcBorders>
          </w:tcPr>
          <w:p w14:paraId="7DDB09FB" w14:textId="7978F8D2" w:rsidR="00EC47A9" w:rsidRPr="001F19B1" w:rsidRDefault="00251908">
            <w:pPr>
              <w:pStyle w:val="TableParagraph"/>
              <w:kinsoku w:val="0"/>
              <w:overflowPunct w:val="0"/>
              <w:spacing w:before="119"/>
              <w:ind w:left="2250"/>
              <w:rPr>
                <w:position w:val="8"/>
                <w:sz w:val="12"/>
                <w:szCs w:val="12"/>
              </w:rPr>
            </w:pPr>
            <w:r w:rsidRPr="00251908">
              <w:rPr>
                <w:sz w:val="20"/>
                <w:szCs w:val="20"/>
                <w:u w:val="single"/>
              </w:rPr>
              <w:t>65 acres</w:t>
            </w:r>
            <w:r w:rsidRPr="00251908">
              <w:rPr>
                <w:strike/>
                <w:sz w:val="20"/>
                <w:szCs w:val="20"/>
              </w:rPr>
              <w:t xml:space="preserve"> </w:t>
            </w:r>
            <w:r w:rsidR="00EC47A9" w:rsidRPr="00251908">
              <w:rPr>
                <w:strike/>
                <w:sz w:val="20"/>
                <w:szCs w:val="20"/>
              </w:rPr>
              <w:t>68.5</w:t>
            </w:r>
            <w:r w:rsidR="00EC47A9" w:rsidRPr="00251908">
              <w:rPr>
                <w:position w:val="8"/>
                <w:sz w:val="12"/>
                <w:szCs w:val="12"/>
              </w:rPr>
              <w:t xml:space="preserve"> </w:t>
            </w:r>
            <w:r w:rsidR="00EC47A9" w:rsidRPr="00E85A6D">
              <w:rPr>
                <w:strike/>
                <w:position w:val="8"/>
                <w:sz w:val="12"/>
                <w:szCs w:val="12"/>
              </w:rPr>
              <w:t>2</w:t>
            </w:r>
          </w:p>
        </w:tc>
      </w:tr>
      <w:tr w:rsidR="00EC47A9" w14:paraId="0788E120"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3F124EC7" w14:textId="77777777" w:rsidR="00EC47A9" w:rsidRDefault="00EC47A9">
            <w:pPr>
              <w:pStyle w:val="TableParagraph"/>
              <w:kinsoku w:val="0"/>
              <w:overflowPunct w:val="0"/>
              <w:rPr>
                <w:sz w:val="20"/>
                <w:szCs w:val="20"/>
              </w:rPr>
            </w:pPr>
            <w:r>
              <w:rPr>
                <w:sz w:val="20"/>
                <w:szCs w:val="20"/>
              </w:rPr>
              <w:t>Density, maximum</w:t>
            </w:r>
          </w:p>
        </w:tc>
        <w:tc>
          <w:tcPr>
            <w:tcW w:w="4963" w:type="dxa"/>
            <w:tcBorders>
              <w:top w:val="single" w:sz="8" w:space="0" w:color="000000"/>
              <w:left w:val="single" w:sz="8" w:space="0" w:color="000000"/>
              <w:bottom w:val="single" w:sz="8" w:space="0" w:color="000000"/>
              <w:right w:val="single" w:sz="8" w:space="0" w:color="000000"/>
            </w:tcBorders>
          </w:tcPr>
          <w:p w14:paraId="3C64F146" w14:textId="77777777" w:rsidR="00EC47A9" w:rsidRDefault="00EC47A9">
            <w:pPr>
              <w:pStyle w:val="TableParagraph"/>
              <w:kinsoku w:val="0"/>
              <w:overflowPunct w:val="0"/>
              <w:ind w:left="143" w:right="122"/>
              <w:jc w:val="center"/>
              <w:rPr>
                <w:sz w:val="20"/>
                <w:szCs w:val="20"/>
                <w:vertAlign w:val="superscript"/>
              </w:rPr>
            </w:pPr>
            <w:r>
              <w:rPr>
                <w:sz w:val="20"/>
                <w:szCs w:val="20"/>
              </w:rPr>
              <w:t xml:space="preserve">1,224 dwelling units </w:t>
            </w:r>
            <w:r w:rsidRPr="00251908">
              <w:rPr>
                <w:strike/>
                <w:sz w:val="20"/>
                <w:szCs w:val="20"/>
                <w:vertAlign w:val="superscript"/>
              </w:rPr>
              <w:t>3</w:t>
            </w:r>
          </w:p>
        </w:tc>
      </w:tr>
      <w:tr w:rsidR="00EC47A9" w14:paraId="4489706F"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2931422C" w14:textId="1FB3B9D7" w:rsidR="00EC47A9" w:rsidRDefault="00EC47A9" w:rsidP="00843B78">
            <w:pPr>
              <w:pStyle w:val="TableParagraph"/>
              <w:tabs>
                <w:tab w:val="left" w:pos="1848"/>
              </w:tabs>
              <w:kinsoku w:val="0"/>
              <w:overflowPunct w:val="0"/>
              <w:rPr>
                <w:sz w:val="20"/>
                <w:szCs w:val="20"/>
              </w:rPr>
            </w:pPr>
            <w:r>
              <w:rPr>
                <w:sz w:val="20"/>
                <w:szCs w:val="20"/>
              </w:rPr>
              <w:t xml:space="preserve">Commercial </w:t>
            </w:r>
            <w:r w:rsidR="00251908" w:rsidRPr="00251908">
              <w:rPr>
                <w:sz w:val="20"/>
                <w:szCs w:val="20"/>
                <w:u w:val="single"/>
              </w:rPr>
              <w:t>Use</w:t>
            </w:r>
            <w:r w:rsidR="00251908" w:rsidRPr="00251908">
              <w:rPr>
                <w:strike/>
                <w:sz w:val="20"/>
                <w:szCs w:val="20"/>
              </w:rPr>
              <w:t xml:space="preserve"> </w:t>
            </w:r>
            <w:r w:rsidRPr="00251908">
              <w:rPr>
                <w:strike/>
                <w:sz w:val="20"/>
                <w:szCs w:val="20"/>
              </w:rPr>
              <w:t>Intensity</w:t>
            </w:r>
            <w:r w:rsidRPr="001F19B1">
              <w:rPr>
                <w:sz w:val="20"/>
                <w:szCs w:val="20"/>
              </w:rPr>
              <w:t>,</w:t>
            </w:r>
            <w:r>
              <w:rPr>
                <w:sz w:val="20"/>
                <w:szCs w:val="20"/>
              </w:rPr>
              <w:t xml:space="preserve"> maximum (sq ft)</w:t>
            </w:r>
          </w:p>
        </w:tc>
        <w:tc>
          <w:tcPr>
            <w:tcW w:w="4963" w:type="dxa"/>
            <w:tcBorders>
              <w:top w:val="single" w:sz="8" w:space="0" w:color="000000"/>
              <w:left w:val="single" w:sz="8" w:space="0" w:color="000000"/>
              <w:bottom w:val="single" w:sz="8" w:space="0" w:color="000000"/>
              <w:right w:val="single" w:sz="8" w:space="0" w:color="000000"/>
            </w:tcBorders>
          </w:tcPr>
          <w:p w14:paraId="61C458A4" w14:textId="2C639457" w:rsidR="00EC47A9" w:rsidRDefault="00EC47A9">
            <w:pPr>
              <w:pStyle w:val="TableParagraph"/>
              <w:kinsoku w:val="0"/>
              <w:overflowPunct w:val="0"/>
              <w:ind w:left="143" w:right="124"/>
              <w:jc w:val="center"/>
              <w:rPr>
                <w:sz w:val="20"/>
                <w:szCs w:val="20"/>
              </w:rPr>
            </w:pPr>
            <w:r w:rsidRPr="00251908">
              <w:rPr>
                <w:strike/>
                <w:sz w:val="20"/>
                <w:szCs w:val="20"/>
              </w:rPr>
              <w:t>70,000</w:t>
            </w:r>
            <w:r w:rsidR="00251908">
              <w:rPr>
                <w:sz w:val="20"/>
                <w:szCs w:val="20"/>
              </w:rPr>
              <w:t xml:space="preserve"> </w:t>
            </w:r>
            <w:r w:rsidR="00251908" w:rsidRPr="00251908">
              <w:rPr>
                <w:sz w:val="20"/>
                <w:szCs w:val="20"/>
                <w:u w:val="single"/>
              </w:rPr>
              <w:t>42,300</w:t>
            </w:r>
          </w:p>
        </w:tc>
      </w:tr>
      <w:tr w:rsidR="00251908" w14:paraId="3AEA5979"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2E831861" w14:textId="349E4A57" w:rsidR="00251908" w:rsidRPr="00251908" w:rsidRDefault="00251908" w:rsidP="00843B78">
            <w:pPr>
              <w:pStyle w:val="TableParagraph"/>
              <w:tabs>
                <w:tab w:val="left" w:pos="1848"/>
              </w:tabs>
              <w:kinsoku w:val="0"/>
              <w:overflowPunct w:val="0"/>
              <w:rPr>
                <w:sz w:val="20"/>
                <w:szCs w:val="20"/>
                <w:u w:val="single"/>
              </w:rPr>
            </w:pPr>
            <w:r>
              <w:rPr>
                <w:sz w:val="20"/>
                <w:szCs w:val="20"/>
                <w:u w:val="single"/>
              </w:rPr>
              <w:t>Office Use, maximum (sq ft)</w:t>
            </w:r>
          </w:p>
        </w:tc>
        <w:tc>
          <w:tcPr>
            <w:tcW w:w="4963" w:type="dxa"/>
            <w:tcBorders>
              <w:top w:val="single" w:sz="8" w:space="0" w:color="000000"/>
              <w:left w:val="single" w:sz="8" w:space="0" w:color="000000"/>
              <w:bottom w:val="single" w:sz="8" w:space="0" w:color="000000"/>
              <w:right w:val="single" w:sz="8" w:space="0" w:color="000000"/>
            </w:tcBorders>
          </w:tcPr>
          <w:p w14:paraId="764B1ED2" w14:textId="1997A01F" w:rsidR="00251908" w:rsidRPr="00251908" w:rsidRDefault="00251908">
            <w:pPr>
              <w:pStyle w:val="TableParagraph"/>
              <w:kinsoku w:val="0"/>
              <w:overflowPunct w:val="0"/>
              <w:ind w:left="143" w:right="124"/>
              <w:jc w:val="center"/>
              <w:rPr>
                <w:sz w:val="20"/>
                <w:szCs w:val="20"/>
                <w:u w:val="single"/>
              </w:rPr>
            </w:pPr>
            <w:r w:rsidRPr="00251908">
              <w:rPr>
                <w:sz w:val="20"/>
                <w:szCs w:val="20"/>
                <w:u w:val="single"/>
              </w:rPr>
              <w:t>96,000</w:t>
            </w:r>
          </w:p>
        </w:tc>
      </w:tr>
      <w:tr w:rsidR="00EC47A9" w14:paraId="041ADC80"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67AB1888" w14:textId="16B8A6D1" w:rsidR="00EC47A9" w:rsidRDefault="00EC47A9" w:rsidP="001F19B1">
            <w:pPr>
              <w:pStyle w:val="TableParagraph"/>
              <w:kinsoku w:val="0"/>
              <w:overflowPunct w:val="0"/>
              <w:rPr>
                <w:sz w:val="20"/>
                <w:szCs w:val="20"/>
              </w:rPr>
            </w:pPr>
            <w:r>
              <w:rPr>
                <w:sz w:val="20"/>
                <w:szCs w:val="20"/>
              </w:rPr>
              <w:t>Recreation and Open Space</w:t>
            </w:r>
            <w:r w:rsidRPr="00251908">
              <w:rPr>
                <w:strike/>
                <w:sz w:val="20"/>
                <w:szCs w:val="20"/>
              </w:rPr>
              <w:t xml:space="preserve"> Intensity</w:t>
            </w:r>
            <w:r>
              <w:rPr>
                <w:sz w:val="20"/>
                <w:szCs w:val="20"/>
              </w:rPr>
              <w:t xml:space="preserve">, </w:t>
            </w:r>
            <w:r w:rsidR="00251908" w:rsidRPr="00251908">
              <w:rPr>
                <w:sz w:val="20"/>
                <w:szCs w:val="20"/>
                <w:u w:val="single"/>
              </w:rPr>
              <w:t>minimum</w:t>
            </w:r>
            <w:r w:rsidR="00251908">
              <w:rPr>
                <w:sz w:val="20"/>
                <w:szCs w:val="20"/>
              </w:rPr>
              <w:t xml:space="preserve"> </w:t>
            </w:r>
            <w:r w:rsidRPr="00251908">
              <w:rPr>
                <w:strike/>
                <w:sz w:val="20"/>
                <w:szCs w:val="20"/>
              </w:rPr>
              <w:t>maximum (acres)</w:t>
            </w:r>
          </w:p>
        </w:tc>
        <w:tc>
          <w:tcPr>
            <w:tcW w:w="4963" w:type="dxa"/>
            <w:tcBorders>
              <w:top w:val="single" w:sz="8" w:space="0" w:color="000000"/>
              <w:left w:val="single" w:sz="8" w:space="0" w:color="000000"/>
              <w:bottom w:val="single" w:sz="8" w:space="0" w:color="000000"/>
              <w:right w:val="single" w:sz="8" w:space="0" w:color="000000"/>
            </w:tcBorders>
          </w:tcPr>
          <w:p w14:paraId="29D8FAD1" w14:textId="77777777" w:rsidR="00EC47A9" w:rsidRDefault="00EC47A9">
            <w:pPr>
              <w:pStyle w:val="TableParagraph"/>
              <w:kinsoku w:val="0"/>
              <w:overflowPunct w:val="0"/>
              <w:ind w:left="143" w:right="127"/>
              <w:jc w:val="center"/>
              <w:rPr>
                <w:sz w:val="20"/>
                <w:szCs w:val="20"/>
              </w:rPr>
            </w:pPr>
            <w:r>
              <w:rPr>
                <w:sz w:val="20"/>
                <w:szCs w:val="20"/>
              </w:rPr>
              <w:t>4.28</w:t>
            </w:r>
          </w:p>
        </w:tc>
      </w:tr>
      <w:tr w:rsidR="00251908" w14:paraId="196EF3C7"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7E414CBB" w14:textId="7F057E0E" w:rsidR="00251908" w:rsidRPr="00251908" w:rsidRDefault="00251908" w:rsidP="001F19B1">
            <w:pPr>
              <w:pStyle w:val="TableParagraph"/>
              <w:kinsoku w:val="0"/>
              <w:overflowPunct w:val="0"/>
              <w:rPr>
                <w:sz w:val="20"/>
                <w:szCs w:val="20"/>
                <w:u w:val="single"/>
              </w:rPr>
            </w:pPr>
            <w:r w:rsidRPr="00251908">
              <w:rPr>
                <w:sz w:val="20"/>
                <w:szCs w:val="20"/>
                <w:u w:val="single"/>
              </w:rPr>
              <w:t>Ancillary Use</w:t>
            </w:r>
          </w:p>
        </w:tc>
        <w:tc>
          <w:tcPr>
            <w:tcW w:w="4963" w:type="dxa"/>
            <w:tcBorders>
              <w:top w:val="single" w:sz="8" w:space="0" w:color="000000"/>
              <w:left w:val="single" w:sz="8" w:space="0" w:color="000000"/>
              <w:bottom w:val="single" w:sz="8" w:space="0" w:color="000000"/>
              <w:right w:val="single" w:sz="8" w:space="0" w:color="000000"/>
            </w:tcBorders>
          </w:tcPr>
          <w:p w14:paraId="2A299CBE" w14:textId="56958384" w:rsidR="00251908" w:rsidRPr="00251908" w:rsidRDefault="00251908">
            <w:pPr>
              <w:pStyle w:val="TableParagraph"/>
              <w:kinsoku w:val="0"/>
              <w:overflowPunct w:val="0"/>
              <w:ind w:left="143" w:right="127"/>
              <w:jc w:val="center"/>
              <w:rPr>
                <w:sz w:val="20"/>
                <w:szCs w:val="20"/>
                <w:u w:val="single"/>
              </w:rPr>
            </w:pPr>
            <w:r w:rsidRPr="00251908">
              <w:rPr>
                <w:sz w:val="20"/>
                <w:szCs w:val="20"/>
                <w:u w:val="single"/>
              </w:rPr>
              <w:t>Unlimited</w:t>
            </w:r>
            <w:r>
              <w:rPr>
                <w:sz w:val="20"/>
                <w:szCs w:val="20"/>
                <w:u w:val="single"/>
              </w:rPr>
              <w:t xml:space="preserve"> </w:t>
            </w:r>
            <w:r w:rsidR="00930425">
              <w:rPr>
                <w:w w:val="105"/>
                <w:sz w:val="20"/>
                <w:szCs w:val="20"/>
                <w:u w:val="single"/>
                <w:vertAlign w:val="superscript"/>
              </w:rPr>
              <w:t>2</w:t>
            </w:r>
          </w:p>
        </w:tc>
      </w:tr>
      <w:tr w:rsidR="00EC47A9" w14:paraId="21263667"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1589D34C" w14:textId="77777777" w:rsidR="00EC47A9" w:rsidRDefault="00EC47A9">
            <w:pPr>
              <w:pStyle w:val="TableParagraph"/>
              <w:kinsoku w:val="0"/>
              <w:overflowPunct w:val="0"/>
              <w:rPr>
                <w:sz w:val="20"/>
                <w:szCs w:val="20"/>
              </w:rPr>
            </w:pPr>
            <w:r>
              <w:rPr>
                <w:sz w:val="20"/>
                <w:szCs w:val="20"/>
              </w:rPr>
              <w:t>Lot coverage, maximum (% of lot area)</w:t>
            </w:r>
          </w:p>
        </w:tc>
        <w:tc>
          <w:tcPr>
            <w:tcW w:w="4963" w:type="dxa"/>
            <w:tcBorders>
              <w:top w:val="single" w:sz="8" w:space="0" w:color="000000"/>
              <w:left w:val="single" w:sz="8" w:space="0" w:color="000000"/>
              <w:bottom w:val="single" w:sz="8" w:space="0" w:color="000000"/>
              <w:right w:val="single" w:sz="8" w:space="0" w:color="000000"/>
            </w:tcBorders>
          </w:tcPr>
          <w:p w14:paraId="637BD84F" w14:textId="77777777" w:rsidR="00EC47A9" w:rsidRDefault="00EC47A9">
            <w:pPr>
              <w:pStyle w:val="TableParagraph"/>
              <w:kinsoku w:val="0"/>
              <w:overflowPunct w:val="0"/>
              <w:ind w:left="141" w:right="128"/>
              <w:jc w:val="center"/>
              <w:rPr>
                <w:sz w:val="20"/>
                <w:szCs w:val="20"/>
              </w:rPr>
            </w:pPr>
            <w:r>
              <w:rPr>
                <w:sz w:val="20"/>
                <w:szCs w:val="20"/>
              </w:rPr>
              <w:t>60%</w:t>
            </w:r>
          </w:p>
        </w:tc>
      </w:tr>
      <w:tr w:rsidR="00EC47A9" w14:paraId="0F7BCBCF"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5201CFE1" w14:textId="77777777" w:rsidR="00EC47A9" w:rsidRDefault="00EC47A9">
            <w:pPr>
              <w:pStyle w:val="TableParagraph"/>
              <w:kinsoku w:val="0"/>
              <w:overflowPunct w:val="0"/>
              <w:rPr>
                <w:sz w:val="20"/>
                <w:szCs w:val="20"/>
              </w:rPr>
            </w:pPr>
            <w:r>
              <w:rPr>
                <w:sz w:val="20"/>
                <w:szCs w:val="20"/>
              </w:rPr>
              <w:t>Pervious area, minimum (% of lot area)</w:t>
            </w:r>
          </w:p>
        </w:tc>
        <w:tc>
          <w:tcPr>
            <w:tcW w:w="4963" w:type="dxa"/>
            <w:tcBorders>
              <w:top w:val="single" w:sz="8" w:space="0" w:color="000000"/>
              <w:left w:val="single" w:sz="8" w:space="0" w:color="000000"/>
              <w:bottom w:val="single" w:sz="8" w:space="0" w:color="000000"/>
              <w:right w:val="single" w:sz="8" w:space="0" w:color="000000"/>
            </w:tcBorders>
          </w:tcPr>
          <w:p w14:paraId="2A90C900" w14:textId="77777777" w:rsidR="00EC47A9" w:rsidRDefault="00EC47A9">
            <w:pPr>
              <w:pStyle w:val="TableParagraph"/>
              <w:kinsoku w:val="0"/>
              <w:overflowPunct w:val="0"/>
              <w:ind w:left="143" w:right="125"/>
              <w:jc w:val="center"/>
              <w:rPr>
                <w:sz w:val="20"/>
                <w:szCs w:val="20"/>
              </w:rPr>
            </w:pPr>
            <w:r>
              <w:rPr>
                <w:sz w:val="20"/>
                <w:szCs w:val="20"/>
              </w:rPr>
              <w:t>25%</w:t>
            </w:r>
          </w:p>
        </w:tc>
      </w:tr>
      <w:tr w:rsidR="00EC47A9" w14:paraId="632DFA4B"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1B4690A1" w14:textId="77777777" w:rsidR="00EC47A9" w:rsidRDefault="00EC47A9">
            <w:pPr>
              <w:pStyle w:val="TableParagraph"/>
              <w:kinsoku w:val="0"/>
              <w:overflowPunct w:val="0"/>
              <w:rPr>
                <w:sz w:val="20"/>
                <w:szCs w:val="20"/>
              </w:rPr>
            </w:pPr>
            <w:r>
              <w:rPr>
                <w:sz w:val="20"/>
                <w:szCs w:val="20"/>
              </w:rPr>
              <w:t>Height, maximum (ft)</w:t>
            </w:r>
          </w:p>
        </w:tc>
        <w:tc>
          <w:tcPr>
            <w:tcW w:w="4963" w:type="dxa"/>
            <w:tcBorders>
              <w:top w:val="single" w:sz="8" w:space="0" w:color="000000"/>
              <w:left w:val="single" w:sz="8" w:space="0" w:color="000000"/>
              <w:bottom w:val="single" w:sz="8" w:space="0" w:color="000000"/>
              <w:right w:val="single" w:sz="8" w:space="0" w:color="000000"/>
            </w:tcBorders>
          </w:tcPr>
          <w:p w14:paraId="7D272E73" w14:textId="68E10B96" w:rsidR="00EC47A9" w:rsidRDefault="00EC47A9">
            <w:pPr>
              <w:pStyle w:val="TableParagraph"/>
              <w:kinsoku w:val="0"/>
              <w:overflowPunct w:val="0"/>
              <w:ind w:left="143" w:right="126"/>
              <w:jc w:val="center"/>
              <w:rPr>
                <w:w w:val="105"/>
                <w:sz w:val="20"/>
                <w:szCs w:val="20"/>
                <w:vertAlign w:val="superscript"/>
              </w:rPr>
            </w:pPr>
            <w:r>
              <w:rPr>
                <w:w w:val="105"/>
                <w:sz w:val="20"/>
                <w:szCs w:val="20"/>
              </w:rPr>
              <w:t xml:space="preserve">250 </w:t>
            </w:r>
            <w:r w:rsidRPr="00251908">
              <w:rPr>
                <w:strike/>
                <w:w w:val="105"/>
                <w:sz w:val="20"/>
                <w:szCs w:val="20"/>
                <w:vertAlign w:val="superscript"/>
              </w:rPr>
              <w:t>4</w:t>
            </w:r>
            <w:r w:rsidR="00251908">
              <w:rPr>
                <w:strike/>
                <w:w w:val="105"/>
                <w:sz w:val="20"/>
                <w:szCs w:val="20"/>
                <w:vertAlign w:val="superscript"/>
              </w:rPr>
              <w:t xml:space="preserve"> </w:t>
            </w:r>
            <w:r w:rsidR="00930425">
              <w:rPr>
                <w:w w:val="105"/>
                <w:sz w:val="20"/>
                <w:szCs w:val="20"/>
                <w:u w:val="single"/>
                <w:vertAlign w:val="superscript"/>
              </w:rPr>
              <w:t>3</w:t>
            </w:r>
          </w:p>
        </w:tc>
      </w:tr>
      <w:tr w:rsidR="00EC47A9" w14:paraId="2BA3A7F1"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75E80DA6" w14:textId="77777777" w:rsidR="00EC47A9" w:rsidRDefault="00EC47A9">
            <w:pPr>
              <w:pStyle w:val="TableParagraph"/>
              <w:kinsoku w:val="0"/>
              <w:overflowPunct w:val="0"/>
              <w:rPr>
                <w:sz w:val="20"/>
                <w:szCs w:val="20"/>
              </w:rPr>
            </w:pPr>
            <w:r>
              <w:rPr>
                <w:sz w:val="20"/>
                <w:szCs w:val="20"/>
              </w:rPr>
              <w:t>Setback abutting public right-of-way, minimum (ft)</w:t>
            </w:r>
          </w:p>
        </w:tc>
        <w:tc>
          <w:tcPr>
            <w:tcW w:w="4963" w:type="dxa"/>
            <w:tcBorders>
              <w:top w:val="single" w:sz="8" w:space="0" w:color="000000"/>
              <w:left w:val="single" w:sz="8" w:space="0" w:color="000000"/>
              <w:bottom w:val="single" w:sz="8" w:space="0" w:color="000000"/>
              <w:right w:val="single" w:sz="8" w:space="0" w:color="000000"/>
            </w:tcBorders>
          </w:tcPr>
          <w:p w14:paraId="6260838D" w14:textId="6CF4BEF9" w:rsidR="00EC47A9" w:rsidRDefault="00EC47A9">
            <w:pPr>
              <w:pStyle w:val="TableParagraph"/>
              <w:kinsoku w:val="0"/>
              <w:overflowPunct w:val="0"/>
              <w:ind w:left="142" w:right="128"/>
              <w:jc w:val="center"/>
              <w:rPr>
                <w:w w:val="105"/>
                <w:sz w:val="20"/>
                <w:szCs w:val="20"/>
                <w:vertAlign w:val="superscript"/>
              </w:rPr>
            </w:pPr>
            <w:r>
              <w:rPr>
                <w:w w:val="105"/>
                <w:sz w:val="20"/>
                <w:szCs w:val="20"/>
              </w:rPr>
              <w:t xml:space="preserve">25 </w:t>
            </w:r>
            <w:r w:rsidRPr="00930425">
              <w:rPr>
                <w:strike/>
                <w:w w:val="105"/>
                <w:sz w:val="20"/>
                <w:szCs w:val="20"/>
                <w:vertAlign w:val="superscript"/>
              </w:rPr>
              <w:t>5</w:t>
            </w:r>
            <w:r w:rsidR="00930425" w:rsidRPr="00930425">
              <w:rPr>
                <w:strike/>
                <w:w w:val="105"/>
                <w:sz w:val="20"/>
                <w:szCs w:val="20"/>
                <w:vertAlign w:val="superscript"/>
              </w:rPr>
              <w:t xml:space="preserve"> </w:t>
            </w:r>
            <w:r w:rsidR="00930425" w:rsidRPr="00930425">
              <w:rPr>
                <w:w w:val="105"/>
                <w:sz w:val="20"/>
                <w:szCs w:val="20"/>
                <w:u w:val="single"/>
                <w:vertAlign w:val="superscript"/>
              </w:rPr>
              <w:t>4</w:t>
            </w:r>
          </w:p>
        </w:tc>
      </w:tr>
      <w:tr w:rsidR="00EC47A9" w14:paraId="60B7111E" w14:textId="77777777">
        <w:trPr>
          <w:trHeight w:val="431"/>
        </w:trPr>
        <w:tc>
          <w:tcPr>
            <w:tcW w:w="4982" w:type="dxa"/>
            <w:tcBorders>
              <w:top w:val="single" w:sz="8" w:space="0" w:color="000000"/>
              <w:left w:val="single" w:sz="8" w:space="0" w:color="000000"/>
              <w:bottom w:val="single" w:sz="8" w:space="0" w:color="000000"/>
              <w:right w:val="single" w:sz="8" w:space="0" w:color="000000"/>
            </w:tcBorders>
          </w:tcPr>
          <w:p w14:paraId="406E9BB9" w14:textId="77777777" w:rsidR="00EC47A9" w:rsidRDefault="00EC47A9">
            <w:pPr>
              <w:pStyle w:val="TableParagraph"/>
              <w:kinsoku w:val="0"/>
              <w:overflowPunct w:val="0"/>
              <w:rPr>
                <w:sz w:val="20"/>
                <w:szCs w:val="20"/>
              </w:rPr>
            </w:pPr>
            <w:r>
              <w:rPr>
                <w:sz w:val="20"/>
                <w:szCs w:val="20"/>
              </w:rPr>
              <w:t>Distance between residential structures, minimum (ft)</w:t>
            </w:r>
          </w:p>
        </w:tc>
        <w:tc>
          <w:tcPr>
            <w:tcW w:w="4963" w:type="dxa"/>
            <w:tcBorders>
              <w:top w:val="single" w:sz="8" w:space="0" w:color="000000"/>
              <w:left w:val="single" w:sz="8" w:space="0" w:color="000000"/>
              <w:bottom w:val="single" w:sz="8" w:space="0" w:color="000000"/>
              <w:right w:val="single" w:sz="8" w:space="0" w:color="000000"/>
            </w:tcBorders>
          </w:tcPr>
          <w:p w14:paraId="6E58D382" w14:textId="70C279E6" w:rsidR="00EC47A9" w:rsidRDefault="00EC47A9">
            <w:pPr>
              <w:pStyle w:val="TableParagraph"/>
              <w:kinsoku w:val="0"/>
              <w:overflowPunct w:val="0"/>
              <w:ind w:left="139" w:right="128"/>
              <w:jc w:val="center"/>
              <w:rPr>
                <w:w w:val="105"/>
                <w:sz w:val="20"/>
                <w:szCs w:val="20"/>
                <w:vertAlign w:val="superscript"/>
              </w:rPr>
            </w:pPr>
            <w:r>
              <w:rPr>
                <w:w w:val="105"/>
                <w:sz w:val="20"/>
                <w:szCs w:val="20"/>
              </w:rPr>
              <w:t xml:space="preserve">10 </w:t>
            </w:r>
            <w:r w:rsidRPr="00930425">
              <w:rPr>
                <w:strike/>
                <w:w w:val="105"/>
                <w:sz w:val="20"/>
                <w:szCs w:val="20"/>
                <w:vertAlign w:val="superscript"/>
              </w:rPr>
              <w:t>6</w:t>
            </w:r>
            <w:r w:rsidR="00930425" w:rsidRPr="00930425">
              <w:rPr>
                <w:strike/>
                <w:w w:val="105"/>
                <w:sz w:val="20"/>
                <w:szCs w:val="20"/>
                <w:vertAlign w:val="superscript"/>
              </w:rPr>
              <w:t xml:space="preserve"> </w:t>
            </w:r>
            <w:r w:rsidR="00930425" w:rsidRPr="00930425">
              <w:rPr>
                <w:w w:val="105"/>
                <w:sz w:val="20"/>
                <w:szCs w:val="20"/>
                <w:u w:val="single"/>
                <w:vertAlign w:val="superscript"/>
              </w:rPr>
              <w:t>5</w:t>
            </w:r>
          </w:p>
        </w:tc>
      </w:tr>
      <w:tr w:rsidR="00EC47A9" w14:paraId="5B7478E8" w14:textId="77777777">
        <w:trPr>
          <w:trHeight w:val="412"/>
        </w:trPr>
        <w:tc>
          <w:tcPr>
            <w:tcW w:w="4982" w:type="dxa"/>
            <w:tcBorders>
              <w:top w:val="single" w:sz="8" w:space="0" w:color="000000"/>
              <w:left w:val="single" w:sz="8" w:space="0" w:color="000000"/>
              <w:bottom w:val="single" w:sz="8" w:space="0" w:color="000000"/>
              <w:right w:val="single" w:sz="8" w:space="0" w:color="000000"/>
            </w:tcBorders>
          </w:tcPr>
          <w:p w14:paraId="6A18A581" w14:textId="77777777" w:rsidR="00EC47A9" w:rsidRDefault="00EC47A9">
            <w:pPr>
              <w:pStyle w:val="TableParagraph"/>
              <w:kinsoku w:val="0"/>
              <w:overflowPunct w:val="0"/>
              <w:rPr>
                <w:sz w:val="20"/>
                <w:szCs w:val="20"/>
              </w:rPr>
            </w:pPr>
            <w:r>
              <w:rPr>
                <w:sz w:val="20"/>
                <w:szCs w:val="20"/>
              </w:rPr>
              <w:t>Dimensional Standards for Accessory Structures</w:t>
            </w:r>
          </w:p>
        </w:tc>
        <w:tc>
          <w:tcPr>
            <w:tcW w:w="4963" w:type="dxa"/>
            <w:tcBorders>
              <w:top w:val="single" w:sz="8" w:space="0" w:color="000000"/>
              <w:left w:val="single" w:sz="8" w:space="0" w:color="000000"/>
              <w:bottom w:val="single" w:sz="8" w:space="0" w:color="000000"/>
              <w:right w:val="single" w:sz="8" w:space="0" w:color="000000"/>
            </w:tcBorders>
          </w:tcPr>
          <w:p w14:paraId="4E923E7F" w14:textId="77777777" w:rsidR="00EC47A9" w:rsidRDefault="00EC47A9">
            <w:pPr>
              <w:pStyle w:val="TableParagraph"/>
              <w:kinsoku w:val="0"/>
              <w:overflowPunct w:val="0"/>
              <w:ind w:left="143" w:right="128"/>
              <w:jc w:val="center"/>
              <w:rPr>
                <w:sz w:val="20"/>
                <w:szCs w:val="20"/>
              </w:rPr>
            </w:pPr>
            <w:r>
              <w:rPr>
                <w:sz w:val="20"/>
                <w:szCs w:val="20"/>
              </w:rPr>
              <w:t>See Accessory Use-Specific standards in Article 4: Part 3.</w:t>
            </w:r>
          </w:p>
        </w:tc>
      </w:tr>
    </w:tbl>
    <w:p w14:paraId="7D2239A1" w14:textId="2756A4EE" w:rsidR="0001651F" w:rsidRPr="00CA2181" w:rsidRDefault="00E5758B" w:rsidP="00CA2181">
      <w:pPr>
        <w:pStyle w:val="Compact"/>
      </w:pPr>
      <w:r>
        <w:t> </w:t>
      </w:r>
    </w:p>
    <w:p w14:paraId="79C98E8C" w14:textId="5676016C" w:rsidR="004E4AB5" w:rsidRDefault="004E4AB5" w:rsidP="00E5758B">
      <w:pPr>
        <w:pStyle w:val="Compact"/>
      </w:pPr>
    </w:p>
    <w:tbl>
      <w:tblPr>
        <w:tblStyle w:val="TableGrid"/>
        <w:tblW w:w="0" w:type="auto"/>
        <w:tblLook w:val="04A0" w:firstRow="1" w:lastRow="0" w:firstColumn="1" w:lastColumn="0" w:noHBand="0" w:noVBand="1"/>
      </w:tblPr>
      <w:tblGrid>
        <w:gridCol w:w="9350"/>
      </w:tblGrid>
      <w:tr w:rsidR="004E4AB5" w14:paraId="39FFE327" w14:textId="77777777" w:rsidTr="006A4F14">
        <w:tc>
          <w:tcPr>
            <w:tcW w:w="9350" w:type="dxa"/>
            <w:shd w:val="clear" w:color="auto" w:fill="197FE2"/>
          </w:tcPr>
          <w:p w14:paraId="3B757EDC" w14:textId="78EF3560" w:rsidR="005E21B5" w:rsidRPr="006A4F14" w:rsidRDefault="005E21B5" w:rsidP="005E21B5">
            <w:pPr>
              <w:autoSpaceDE w:val="0"/>
              <w:autoSpaceDN w:val="0"/>
              <w:adjustRightInd w:val="0"/>
              <w:jc w:val="center"/>
              <w:rPr>
                <w:rFonts w:ascii="GillSansMT,Bold" w:hAnsi="GillSansMT,Bold" w:cs="GillSansMT,Bold"/>
                <w:b/>
                <w:bCs/>
                <w:color w:val="FFFFFF" w:themeColor="background1"/>
                <w:sz w:val="20"/>
                <w:szCs w:val="20"/>
              </w:rPr>
            </w:pPr>
            <w:r w:rsidRPr="006A4F14">
              <w:rPr>
                <w:rFonts w:ascii="GillSansMT,Bold" w:hAnsi="GillSansMT,Bold" w:cs="GillSansMT,Bold"/>
                <w:b/>
                <w:bCs/>
                <w:color w:val="FFFFFF" w:themeColor="background1"/>
                <w:sz w:val="20"/>
                <w:szCs w:val="20"/>
              </w:rPr>
              <w:t>TABLE 155.3507.E: INTENSITY AND DIMENSIONAL</w:t>
            </w:r>
          </w:p>
          <w:p w14:paraId="342CE953" w14:textId="2590A1BA" w:rsidR="004E4AB5" w:rsidRPr="006A4F14" w:rsidRDefault="005E21B5" w:rsidP="005E21B5">
            <w:pPr>
              <w:pStyle w:val="Compact"/>
              <w:tabs>
                <w:tab w:val="left" w:pos="2940"/>
              </w:tabs>
              <w:jc w:val="center"/>
              <w:rPr>
                <w:color w:val="FFFFFF" w:themeColor="background1"/>
              </w:rPr>
            </w:pPr>
            <w:r w:rsidRPr="006A4F14">
              <w:rPr>
                <w:rFonts w:ascii="GillSansMT,Bold" w:hAnsi="GillSansMT,Bold" w:cs="GillSansMT,Bold"/>
                <w:b/>
                <w:bCs/>
                <w:color w:val="FFFFFF" w:themeColor="background1"/>
                <w:sz w:val="20"/>
                <w:szCs w:val="20"/>
              </w:rPr>
              <w:t>STANDARDS FOR LAC - JOHN KNOX VILLAGE</w:t>
            </w:r>
          </w:p>
        </w:tc>
      </w:tr>
      <w:tr w:rsidR="005E21B5" w14:paraId="00571ED6" w14:textId="77777777" w:rsidTr="006A4F14">
        <w:tc>
          <w:tcPr>
            <w:tcW w:w="9350" w:type="dxa"/>
            <w:shd w:val="clear" w:color="auto" w:fill="197FE2"/>
          </w:tcPr>
          <w:p w14:paraId="1A566B17" w14:textId="2FE24F40" w:rsidR="005E21B5" w:rsidRPr="006A4F14" w:rsidRDefault="00A5659B" w:rsidP="00A5659B">
            <w:pPr>
              <w:tabs>
                <w:tab w:val="left" w:pos="270"/>
              </w:tabs>
              <w:autoSpaceDE w:val="0"/>
              <w:autoSpaceDN w:val="0"/>
              <w:adjustRightInd w:val="0"/>
              <w:rPr>
                <w:rFonts w:ascii="GillSansMT,Bold" w:hAnsi="GillSansMT,Bold" w:cs="GillSansMT,Bold"/>
                <w:b/>
                <w:bCs/>
                <w:color w:val="FFFFFF" w:themeColor="background1"/>
                <w:sz w:val="20"/>
                <w:szCs w:val="20"/>
              </w:rPr>
            </w:pPr>
            <w:r w:rsidRPr="006A4F14">
              <w:rPr>
                <w:rFonts w:ascii="GillSansMT,Bold" w:hAnsi="GillSansMT,Bold" w:cs="GillSansMT,Bold"/>
                <w:b/>
                <w:bCs/>
                <w:color w:val="FFFFFF" w:themeColor="background1"/>
                <w:sz w:val="20"/>
                <w:szCs w:val="20"/>
              </w:rPr>
              <w:tab/>
              <w:t>I</w:t>
            </w:r>
            <w:r w:rsidRPr="006A4F14">
              <w:rPr>
                <w:rFonts w:ascii="GillSansMT,Bold" w:hAnsi="GillSansMT,Bold" w:cs="GillSansMT,Bold"/>
                <w:b/>
                <w:bCs/>
                <w:color w:val="FFFFFF" w:themeColor="background1"/>
                <w:sz w:val="16"/>
                <w:szCs w:val="16"/>
              </w:rPr>
              <w:t xml:space="preserve">NTENSITY AND </w:t>
            </w:r>
            <w:r w:rsidRPr="006A4F14">
              <w:rPr>
                <w:rFonts w:ascii="GillSansMT,Bold" w:hAnsi="GillSansMT,Bold" w:cs="GillSansMT,Bold"/>
                <w:b/>
                <w:bCs/>
                <w:color w:val="FFFFFF" w:themeColor="background1"/>
                <w:sz w:val="20"/>
                <w:szCs w:val="20"/>
              </w:rPr>
              <w:t>D</w:t>
            </w:r>
            <w:r w:rsidRPr="006A4F14">
              <w:rPr>
                <w:rFonts w:ascii="GillSansMT,Bold" w:hAnsi="GillSansMT,Bold" w:cs="GillSansMT,Bold"/>
                <w:b/>
                <w:bCs/>
                <w:color w:val="FFFFFF" w:themeColor="background1"/>
                <w:sz w:val="16"/>
                <w:szCs w:val="16"/>
              </w:rPr>
              <w:t xml:space="preserve">IMENSIONAL </w:t>
            </w:r>
            <w:r w:rsidRPr="006A4F14">
              <w:rPr>
                <w:rFonts w:ascii="GillSansMT,Bold" w:hAnsi="GillSansMT,Bold" w:cs="GillSansMT,Bold"/>
                <w:b/>
                <w:bCs/>
                <w:color w:val="FFFFFF" w:themeColor="background1"/>
                <w:sz w:val="20"/>
                <w:szCs w:val="20"/>
              </w:rPr>
              <w:t>S</w:t>
            </w:r>
            <w:r w:rsidRPr="006A4F14">
              <w:rPr>
                <w:rFonts w:ascii="GillSansMT,Bold" w:hAnsi="GillSansMT,Bold" w:cs="GillSansMT,Bold"/>
                <w:b/>
                <w:bCs/>
                <w:color w:val="FFFFFF" w:themeColor="background1"/>
                <w:sz w:val="16"/>
                <w:szCs w:val="16"/>
              </w:rPr>
              <w:t xml:space="preserve">TANDARDS </w:t>
            </w:r>
            <w:r w:rsidRPr="006A4F14">
              <w:rPr>
                <w:rFonts w:ascii="GillSansMT,Bold" w:hAnsi="GillSansMT,Bold" w:cs="GillSansMT,Bold"/>
                <w:b/>
                <w:bCs/>
                <w:color w:val="FFFFFF" w:themeColor="background1"/>
                <w:sz w:val="16"/>
                <w:szCs w:val="16"/>
                <w:vertAlign w:val="superscript"/>
              </w:rPr>
              <w:t>1</w:t>
            </w:r>
          </w:p>
        </w:tc>
      </w:tr>
      <w:tr w:rsidR="004E4AB5" w14:paraId="09455D95" w14:textId="77777777" w:rsidTr="004E4AB5">
        <w:tc>
          <w:tcPr>
            <w:tcW w:w="9350" w:type="dxa"/>
          </w:tcPr>
          <w:p w14:paraId="62CA1181" w14:textId="2D1EF717" w:rsidR="00A5659B" w:rsidRPr="00A5659B" w:rsidRDefault="00A5659B" w:rsidP="00A5659B">
            <w:pPr>
              <w:tabs>
                <w:tab w:val="left" w:pos="358"/>
              </w:tabs>
              <w:kinsoku w:val="0"/>
              <w:overflowPunct w:val="0"/>
              <w:autoSpaceDE w:val="0"/>
              <w:autoSpaceDN w:val="0"/>
              <w:adjustRightInd w:val="0"/>
              <w:spacing w:before="41"/>
              <w:rPr>
                <w:sz w:val="20"/>
                <w:szCs w:val="20"/>
              </w:rPr>
            </w:pPr>
            <w:r>
              <w:rPr>
                <w:rFonts w:ascii="GillSansMT" w:hAnsi="GillSansMT" w:cs="GillSansMT"/>
                <w:sz w:val="20"/>
                <w:szCs w:val="20"/>
              </w:rPr>
              <w:t>NOTES: [sq ft = square feet; ft = feet; du/ac = dwelling units/acre]</w:t>
            </w:r>
          </w:p>
          <w:p w14:paraId="21E3EB15" w14:textId="6ACBB759" w:rsidR="004E4AB5" w:rsidRPr="00251908" w:rsidRDefault="00251908" w:rsidP="00251908">
            <w:pPr>
              <w:tabs>
                <w:tab w:val="left" w:pos="358"/>
              </w:tabs>
              <w:kinsoku w:val="0"/>
              <w:overflowPunct w:val="0"/>
              <w:autoSpaceDE w:val="0"/>
              <w:autoSpaceDN w:val="0"/>
              <w:adjustRightInd w:val="0"/>
              <w:spacing w:before="41"/>
              <w:rPr>
                <w:sz w:val="20"/>
                <w:szCs w:val="20"/>
              </w:rPr>
            </w:pPr>
            <w:r>
              <w:rPr>
                <w:sz w:val="20"/>
                <w:szCs w:val="20"/>
              </w:rPr>
              <w:t xml:space="preserve">1. </w:t>
            </w:r>
            <w:r w:rsidR="004E4AB5" w:rsidRPr="00251908">
              <w:rPr>
                <w:sz w:val="20"/>
                <w:szCs w:val="20"/>
              </w:rPr>
              <w:t>See measurement rules and allowed exceptions/variations in Article 9: Part</w:t>
            </w:r>
            <w:r w:rsidR="004E4AB5" w:rsidRPr="00251908">
              <w:rPr>
                <w:spacing w:val="-12"/>
                <w:sz w:val="20"/>
                <w:szCs w:val="20"/>
              </w:rPr>
              <w:t xml:space="preserve"> </w:t>
            </w:r>
            <w:r w:rsidR="004E4AB5" w:rsidRPr="00251908">
              <w:rPr>
                <w:sz w:val="20"/>
                <w:szCs w:val="20"/>
              </w:rPr>
              <w:t>4.</w:t>
            </w:r>
          </w:p>
          <w:p w14:paraId="3FBE5447" w14:textId="0EDF9283" w:rsidR="004E4AB5" w:rsidRPr="00251908" w:rsidRDefault="00251908" w:rsidP="00251908">
            <w:pPr>
              <w:tabs>
                <w:tab w:val="left" w:pos="358"/>
              </w:tabs>
              <w:kinsoku w:val="0"/>
              <w:overflowPunct w:val="0"/>
              <w:autoSpaceDE w:val="0"/>
              <w:autoSpaceDN w:val="0"/>
              <w:adjustRightInd w:val="0"/>
              <w:spacing w:before="42"/>
              <w:rPr>
                <w:strike/>
                <w:sz w:val="20"/>
                <w:szCs w:val="20"/>
              </w:rPr>
            </w:pPr>
            <w:r w:rsidRPr="00251908">
              <w:rPr>
                <w:strike/>
                <w:sz w:val="20"/>
                <w:szCs w:val="20"/>
              </w:rPr>
              <w:t>2.</w:t>
            </w:r>
            <w:r>
              <w:rPr>
                <w:strike/>
                <w:sz w:val="20"/>
                <w:szCs w:val="20"/>
              </w:rPr>
              <w:t xml:space="preserve"> </w:t>
            </w:r>
            <w:r w:rsidR="004E4AB5" w:rsidRPr="00251908">
              <w:rPr>
                <w:strike/>
                <w:sz w:val="20"/>
                <w:szCs w:val="20"/>
              </w:rPr>
              <w:t>Net Acreage is 64.42</w:t>
            </w:r>
            <w:r w:rsidR="004E4AB5" w:rsidRPr="00251908">
              <w:rPr>
                <w:strike/>
                <w:spacing w:val="-2"/>
                <w:sz w:val="20"/>
                <w:szCs w:val="20"/>
              </w:rPr>
              <w:t xml:space="preserve"> </w:t>
            </w:r>
            <w:r w:rsidR="004E4AB5" w:rsidRPr="00251908">
              <w:rPr>
                <w:strike/>
                <w:sz w:val="20"/>
                <w:szCs w:val="20"/>
              </w:rPr>
              <w:t>acres</w:t>
            </w:r>
          </w:p>
          <w:p w14:paraId="03B404DC" w14:textId="14D46A68" w:rsidR="004E4AB5" w:rsidRDefault="00251908" w:rsidP="00251908">
            <w:pPr>
              <w:tabs>
                <w:tab w:val="left" w:pos="358"/>
              </w:tabs>
              <w:kinsoku w:val="0"/>
              <w:overflowPunct w:val="0"/>
              <w:autoSpaceDE w:val="0"/>
              <w:autoSpaceDN w:val="0"/>
              <w:adjustRightInd w:val="0"/>
              <w:spacing w:before="42" w:line="283" w:lineRule="auto"/>
              <w:ind w:right="106"/>
              <w:rPr>
                <w:strike/>
                <w:sz w:val="20"/>
                <w:szCs w:val="20"/>
              </w:rPr>
            </w:pPr>
            <w:r w:rsidRPr="00251908">
              <w:rPr>
                <w:strike/>
                <w:sz w:val="20"/>
                <w:szCs w:val="20"/>
              </w:rPr>
              <w:t>3.</w:t>
            </w:r>
            <w:r>
              <w:rPr>
                <w:strike/>
                <w:sz w:val="20"/>
                <w:szCs w:val="20"/>
              </w:rPr>
              <w:t xml:space="preserve"> </w:t>
            </w:r>
            <w:r w:rsidR="004E4AB5" w:rsidRPr="00251908">
              <w:rPr>
                <w:strike/>
                <w:sz w:val="20"/>
                <w:szCs w:val="20"/>
              </w:rPr>
              <w:t xml:space="preserve">Residential Density is limited to 674 high-rise units, 247 assisted dwelling </w:t>
            </w:r>
            <w:proofErr w:type="gramStart"/>
            <w:r w:rsidR="004E4AB5" w:rsidRPr="00251908">
              <w:rPr>
                <w:strike/>
                <w:sz w:val="20"/>
                <w:szCs w:val="20"/>
              </w:rPr>
              <w:t>units</w:t>
            </w:r>
            <w:proofErr w:type="gramEnd"/>
            <w:r w:rsidR="004E4AB5" w:rsidRPr="00251908">
              <w:rPr>
                <w:strike/>
                <w:sz w:val="20"/>
                <w:szCs w:val="20"/>
              </w:rPr>
              <w:t xml:space="preserve"> equivalents, 216 villas, and 87 garden</w:t>
            </w:r>
            <w:r w:rsidR="004E4AB5" w:rsidRPr="00251908">
              <w:rPr>
                <w:strike/>
                <w:spacing w:val="-11"/>
                <w:sz w:val="20"/>
                <w:szCs w:val="20"/>
              </w:rPr>
              <w:t xml:space="preserve"> </w:t>
            </w:r>
            <w:r w:rsidR="004E4AB5" w:rsidRPr="00251908">
              <w:rPr>
                <w:strike/>
                <w:sz w:val="20"/>
                <w:szCs w:val="20"/>
              </w:rPr>
              <w:t>apartments.</w:t>
            </w:r>
          </w:p>
          <w:p w14:paraId="3402CF9B" w14:textId="6FCB6FAD" w:rsidR="00930425" w:rsidRDefault="00930425" w:rsidP="00251908">
            <w:pPr>
              <w:tabs>
                <w:tab w:val="left" w:pos="358"/>
              </w:tabs>
              <w:kinsoku w:val="0"/>
              <w:overflowPunct w:val="0"/>
              <w:autoSpaceDE w:val="0"/>
              <w:autoSpaceDN w:val="0"/>
              <w:adjustRightInd w:val="0"/>
              <w:spacing w:before="42" w:line="283" w:lineRule="auto"/>
              <w:ind w:right="106"/>
              <w:rPr>
                <w:sz w:val="20"/>
                <w:szCs w:val="20"/>
                <w:u w:val="single"/>
              </w:rPr>
            </w:pPr>
            <w:r>
              <w:rPr>
                <w:sz w:val="20"/>
                <w:szCs w:val="20"/>
                <w:u w:val="single"/>
              </w:rPr>
              <w:t>2</w:t>
            </w:r>
            <w:r w:rsidRPr="00251908">
              <w:rPr>
                <w:sz w:val="20"/>
                <w:szCs w:val="20"/>
                <w:u w:val="single"/>
              </w:rPr>
              <w:t>.</w:t>
            </w:r>
            <w:r>
              <w:rPr>
                <w:sz w:val="20"/>
                <w:szCs w:val="20"/>
                <w:u w:val="single"/>
              </w:rPr>
              <w:t xml:space="preserve"> Ancillary uses include uses to provide services and support to John Knox Village residents which are not intended to attract customers that do not reside in John Knox Village. Employment supporting the ancillary use is expected and the impacts of that employment were considered in the land use plan amendment granting the unlimited ancillary use entitlements.</w:t>
            </w:r>
          </w:p>
          <w:p w14:paraId="6A883B41" w14:textId="77777777" w:rsidR="00930425" w:rsidRPr="00251908" w:rsidRDefault="00930425" w:rsidP="00251908">
            <w:pPr>
              <w:tabs>
                <w:tab w:val="left" w:pos="358"/>
              </w:tabs>
              <w:kinsoku w:val="0"/>
              <w:overflowPunct w:val="0"/>
              <w:autoSpaceDE w:val="0"/>
              <w:autoSpaceDN w:val="0"/>
              <w:adjustRightInd w:val="0"/>
              <w:spacing w:before="42" w:line="283" w:lineRule="auto"/>
              <w:ind w:right="106"/>
              <w:rPr>
                <w:strike/>
                <w:sz w:val="20"/>
                <w:szCs w:val="20"/>
              </w:rPr>
            </w:pPr>
          </w:p>
          <w:p w14:paraId="2C2B0FF7" w14:textId="30ACDBBE" w:rsidR="004E4AB5" w:rsidRDefault="00251908" w:rsidP="00251908">
            <w:pPr>
              <w:tabs>
                <w:tab w:val="left" w:pos="358"/>
              </w:tabs>
              <w:kinsoku w:val="0"/>
              <w:overflowPunct w:val="0"/>
              <w:autoSpaceDE w:val="0"/>
              <w:autoSpaceDN w:val="0"/>
              <w:adjustRightInd w:val="0"/>
              <w:spacing w:line="283" w:lineRule="auto"/>
              <w:ind w:right="198"/>
              <w:rPr>
                <w:sz w:val="20"/>
                <w:szCs w:val="20"/>
              </w:rPr>
            </w:pPr>
            <w:r w:rsidRPr="00251908">
              <w:rPr>
                <w:strike/>
                <w:sz w:val="20"/>
                <w:szCs w:val="20"/>
              </w:rPr>
              <w:t>4.</w:t>
            </w:r>
            <w:r>
              <w:rPr>
                <w:sz w:val="20"/>
                <w:szCs w:val="20"/>
              </w:rPr>
              <w:t xml:space="preserve">  </w:t>
            </w:r>
            <w:r w:rsidR="00930425" w:rsidRPr="00930425">
              <w:rPr>
                <w:sz w:val="20"/>
                <w:szCs w:val="20"/>
                <w:u w:val="single"/>
              </w:rPr>
              <w:t>3</w:t>
            </w:r>
            <w:r w:rsidRPr="00930425">
              <w:rPr>
                <w:sz w:val="20"/>
                <w:szCs w:val="20"/>
                <w:u w:val="single"/>
              </w:rPr>
              <w:t>.</w:t>
            </w:r>
            <w:r>
              <w:rPr>
                <w:sz w:val="20"/>
                <w:szCs w:val="20"/>
              </w:rPr>
              <w:t xml:space="preserve"> </w:t>
            </w:r>
            <w:r w:rsidR="004E4AB5" w:rsidRPr="00251908">
              <w:rPr>
                <w:sz w:val="20"/>
                <w:szCs w:val="20"/>
              </w:rPr>
              <w:t>Any new structure/building greater than 105 feet in height may be subject to obtaining approval of an Airpark Obstruction Permit in accordance with Section 155.2422., Airpark Obstruction Permit. Airpark Obstruction Permits shall be approved prior to the submittal of an application for a Zoning Compliance</w:t>
            </w:r>
            <w:r w:rsidR="004E4AB5" w:rsidRPr="00251908">
              <w:rPr>
                <w:spacing w:val="-28"/>
                <w:sz w:val="20"/>
                <w:szCs w:val="20"/>
              </w:rPr>
              <w:t xml:space="preserve"> </w:t>
            </w:r>
            <w:r w:rsidR="004E4AB5" w:rsidRPr="00251908">
              <w:rPr>
                <w:sz w:val="20"/>
                <w:szCs w:val="20"/>
              </w:rPr>
              <w:t>Permit.</w:t>
            </w:r>
          </w:p>
          <w:p w14:paraId="3BB945B1" w14:textId="77777777" w:rsidR="00930425" w:rsidRPr="00251908" w:rsidRDefault="00930425" w:rsidP="00251908">
            <w:pPr>
              <w:tabs>
                <w:tab w:val="left" w:pos="358"/>
              </w:tabs>
              <w:kinsoku w:val="0"/>
              <w:overflowPunct w:val="0"/>
              <w:autoSpaceDE w:val="0"/>
              <w:autoSpaceDN w:val="0"/>
              <w:adjustRightInd w:val="0"/>
              <w:spacing w:line="283" w:lineRule="auto"/>
              <w:ind w:right="198"/>
              <w:rPr>
                <w:sz w:val="20"/>
                <w:szCs w:val="20"/>
              </w:rPr>
            </w:pPr>
          </w:p>
          <w:p w14:paraId="0B10385F" w14:textId="19174E9C" w:rsidR="004E4AB5" w:rsidRPr="00251908" w:rsidRDefault="00251908" w:rsidP="00251908">
            <w:pPr>
              <w:tabs>
                <w:tab w:val="left" w:pos="358"/>
              </w:tabs>
              <w:kinsoku w:val="0"/>
              <w:overflowPunct w:val="0"/>
              <w:autoSpaceDE w:val="0"/>
              <w:autoSpaceDN w:val="0"/>
              <w:adjustRightInd w:val="0"/>
              <w:spacing w:line="283" w:lineRule="auto"/>
              <w:ind w:right="371"/>
              <w:rPr>
                <w:sz w:val="20"/>
                <w:szCs w:val="20"/>
              </w:rPr>
            </w:pPr>
            <w:r w:rsidRPr="00251908">
              <w:rPr>
                <w:strike/>
                <w:sz w:val="20"/>
                <w:szCs w:val="20"/>
              </w:rPr>
              <w:t>5.</w:t>
            </w:r>
            <w:r>
              <w:rPr>
                <w:sz w:val="20"/>
                <w:szCs w:val="20"/>
              </w:rPr>
              <w:t xml:space="preserve"> </w:t>
            </w:r>
            <w:r w:rsidR="00930425">
              <w:rPr>
                <w:sz w:val="20"/>
                <w:szCs w:val="20"/>
                <w:u w:val="single"/>
              </w:rPr>
              <w:t>4.</w:t>
            </w:r>
            <w:r w:rsidRPr="00251908">
              <w:rPr>
                <w:sz w:val="20"/>
                <w:szCs w:val="20"/>
                <w:u w:val="single"/>
              </w:rPr>
              <w:t xml:space="preserve"> </w:t>
            </w:r>
            <w:r w:rsidR="004E4AB5" w:rsidRPr="00251908">
              <w:rPr>
                <w:sz w:val="20"/>
                <w:szCs w:val="20"/>
              </w:rPr>
              <w:t xml:space="preserve">Buildings over 50 feet, the setback shall increase one foot for every four feet of building height or major fraction thereof, above the first 50 feet of building height. Buildings over 200 feet in height shall provide at least </w:t>
            </w:r>
            <w:proofErr w:type="gramStart"/>
            <w:r w:rsidR="004E4AB5" w:rsidRPr="00251908">
              <w:rPr>
                <w:sz w:val="20"/>
                <w:szCs w:val="20"/>
              </w:rPr>
              <w:t>200 foot</w:t>
            </w:r>
            <w:proofErr w:type="gramEnd"/>
            <w:r w:rsidR="004E4AB5" w:rsidRPr="00251908">
              <w:rPr>
                <w:sz w:val="20"/>
                <w:szCs w:val="20"/>
              </w:rPr>
              <w:t xml:space="preserve"> setback from any public</w:t>
            </w:r>
            <w:r w:rsidR="004E4AB5" w:rsidRPr="00251908">
              <w:rPr>
                <w:spacing w:val="-38"/>
                <w:sz w:val="20"/>
                <w:szCs w:val="20"/>
              </w:rPr>
              <w:t xml:space="preserve"> </w:t>
            </w:r>
            <w:r w:rsidR="004E4AB5" w:rsidRPr="00251908">
              <w:rPr>
                <w:sz w:val="20"/>
                <w:szCs w:val="20"/>
              </w:rPr>
              <w:t>right-of-way.</w:t>
            </w:r>
          </w:p>
          <w:p w14:paraId="074603E4" w14:textId="77777777" w:rsidR="00251908" w:rsidRDefault="00251908" w:rsidP="00251908">
            <w:pPr>
              <w:tabs>
                <w:tab w:val="left" w:pos="358"/>
              </w:tabs>
              <w:kinsoku w:val="0"/>
              <w:overflowPunct w:val="0"/>
              <w:autoSpaceDE w:val="0"/>
              <w:autoSpaceDN w:val="0"/>
              <w:adjustRightInd w:val="0"/>
              <w:spacing w:line="283" w:lineRule="auto"/>
              <w:ind w:right="464"/>
              <w:rPr>
                <w:sz w:val="20"/>
                <w:szCs w:val="20"/>
              </w:rPr>
            </w:pPr>
          </w:p>
          <w:p w14:paraId="41BB4E26" w14:textId="3C9607B7" w:rsidR="00AC49BA" w:rsidRPr="00251908" w:rsidRDefault="00930425" w:rsidP="00251908">
            <w:pPr>
              <w:tabs>
                <w:tab w:val="left" w:pos="358"/>
              </w:tabs>
              <w:kinsoku w:val="0"/>
              <w:overflowPunct w:val="0"/>
              <w:autoSpaceDE w:val="0"/>
              <w:autoSpaceDN w:val="0"/>
              <w:adjustRightInd w:val="0"/>
              <w:spacing w:line="283" w:lineRule="auto"/>
              <w:ind w:right="464"/>
              <w:rPr>
                <w:sz w:val="20"/>
                <w:szCs w:val="20"/>
              </w:rPr>
            </w:pPr>
            <w:r w:rsidRPr="00930425">
              <w:rPr>
                <w:strike/>
                <w:sz w:val="20"/>
                <w:szCs w:val="20"/>
              </w:rPr>
              <w:t>6.</w:t>
            </w:r>
            <w:r>
              <w:rPr>
                <w:sz w:val="20"/>
                <w:szCs w:val="20"/>
              </w:rPr>
              <w:t xml:space="preserve"> </w:t>
            </w:r>
            <w:r w:rsidRPr="00930425">
              <w:rPr>
                <w:sz w:val="20"/>
                <w:szCs w:val="20"/>
                <w:u w:val="single"/>
              </w:rPr>
              <w:t>5.</w:t>
            </w:r>
            <w:r>
              <w:rPr>
                <w:sz w:val="20"/>
                <w:szCs w:val="20"/>
              </w:rPr>
              <w:t xml:space="preserve"> </w:t>
            </w:r>
            <w:r w:rsidR="004E4AB5" w:rsidRPr="00251908">
              <w:rPr>
                <w:sz w:val="20"/>
                <w:szCs w:val="20"/>
              </w:rPr>
              <w:t>Buildings over 20 feet, the distance between residential structures shall increase one foot for every four feet of building height or major fraction thereof, above the first 20 feet of building height. There is no distance</w:t>
            </w:r>
            <w:r w:rsidR="004E4AB5" w:rsidRPr="00251908">
              <w:rPr>
                <w:spacing w:val="-27"/>
                <w:sz w:val="20"/>
                <w:szCs w:val="20"/>
              </w:rPr>
              <w:t xml:space="preserve"> </w:t>
            </w:r>
            <w:r w:rsidR="004E4AB5" w:rsidRPr="00251908">
              <w:rPr>
                <w:sz w:val="20"/>
                <w:szCs w:val="20"/>
              </w:rPr>
              <w:t>required between commercial structures.</w:t>
            </w:r>
          </w:p>
          <w:p w14:paraId="28BA2C61" w14:textId="77777777" w:rsidR="004E4AB5" w:rsidRPr="005E21B5" w:rsidRDefault="004E4AB5" w:rsidP="00E5758B">
            <w:pPr>
              <w:pStyle w:val="Compact"/>
            </w:pPr>
          </w:p>
        </w:tc>
      </w:tr>
    </w:tbl>
    <w:p w14:paraId="20D24466" w14:textId="00F3FCD9" w:rsidR="0001651F" w:rsidRDefault="0001651F" w:rsidP="00E5758B">
      <w:pPr>
        <w:pStyle w:val="Compact"/>
      </w:pPr>
    </w:p>
    <w:p w14:paraId="67E263B4" w14:textId="7317ECD8" w:rsidR="006D2225" w:rsidRDefault="006D2225" w:rsidP="00E5758B">
      <w:pPr>
        <w:pStyle w:val="Compact"/>
      </w:pPr>
    </w:p>
    <w:p w14:paraId="233251D7" w14:textId="40964EFC" w:rsidR="00E5758B" w:rsidRPr="00914493" w:rsidRDefault="00E5758B" w:rsidP="00914493">
      <w:pPr>
        <w:pStyle w:val="Compact"/>
        <w:numPr>
          <w:ilvl w:val="0"/>
          <w:numId w:val="2"/>
        </w:numPr>
        <w:ind w:left="360"/>
        <w:rPr>
          <w:b/>
          <w:bCs/>
        </w:rPr>
      </w:pPr>
      <w:r w:rsidRPr="00914493">
        <w:rPr>
          <w:b/>
          <w:bCs/>
        </w:rPr>
        <w:t>Process for Master Plan and Site Plan Approval</w:t>
      </w:r>
    </w:p>
    <w:p w14:paraId="68EAAE5C" w14:textId="77777777" w:rsidR="00914493" w:rsidRDefault="00914493" w:rsidP="00E5758B">
      <w:pPr>
        <w:pStyle w:val="Compact"/>
      </w:pPr>
    </w:p>
    <w:p w14:paraId="17F42C34" w14:textId="5E70879C" w:rsidR="00914493" w:rsidRDefault="00E5758B" w:rsidP="00E5758B">
      <w:pPr>
        <w:pStyle w:val="Compact"/>
        <w:numPr>
          <w:ilvl w:val="0"/>
          <w:numId w:val="7"/>
        </w:numPr>
      </w:pPr>
      <w:r w:rsidRPr="00914493">
        <w:rPr>
          <w:b/>
          <w:bCs/>
        </w:rPr>
        <w:t>Approval of Master Plan</w:t>
      </w:r>
    </w:p>
    <w:p w14:paraId="5379349D" w14:textId="77777777" w:rsidR="0009505C" w:rsidRPr="0009505C" w:rsidRDefault="0009505C" w:rsidP="0009505C">
      <w:pPr>
        <w:pStyle w:val="ListParagraph"/>
        <w:spacing w:before="36" w:after="36"/>
        <w:rPr>
          <w:sz w:val="24"/>
          <w:szCs w:val="24"/>
        </w:rPr>
      </w:pPr>
      <w:bookmarkStart w:id="0" w:name="_GoBack"/>
      <w:bookmarkEnd w:id="0"/>
      <w:r w:rsidRPr="0009505C">
        <w:rPr>
          <w:sz w:val="24"/>
          <w:szCs w:val="24"/>
        </w:rPr>
        <w:t xml:space="preserve">An illustrative build out Master Plan </w:t>
      </w:r>
      <w:r w:rsidRPr="0009505C">
        <w:rPr>
          <w:sz w:val="24"/>
          <w:szCs w:val="24"/>
          <w:u w:val="single"/>
        </w:rPr>
        <w:t>for John Knox Village,</w:t>
      </w:r>
      <w:r w:rsidRPr="0009505C">
        <w:rPr>
          <w:sz w:val="24"/>
          <w:szCs w:val="24"/>
        </w:rPr>
        <w:t xml:space="preserve"> in accordance with Section </w:t>
      </w:r>
      <w:r w:rsidRPr="0009505C">
        <w:rPr>
          <w:strike/>
          <w:sz w:val="24"/>
          <w:szCs w:val="24"/>
        </w:rPr>
        <w:t>155.3602. General Standards for All Planned Development Districts</w:t>
      </w:r>
      <w:r w:rsidRPr="0009505C">
        <w:rPr>
          <w:sz w:val="24"/>
          <w:szCs w:val="24"/>
          <w:u w:val="single"/>
        </w:rPr>
        <w:t xml:space="preserve"> 155.3507. A</w:t>
      </w:r>
      <w:r w:rsidRPr="0009505C">
        <w:rPr>
          <w:color w:val="1F497D"/>
          <w:sz w:val="24"/>
          <w:szCs w:val="24"/>
          <w:u w:val="single"/>
        </w:rPr>
        <w:t>,</w:t>
      </w:r>
      <w:r w:rsidRPr="0009505C">
        <w:rPr>
          <w:sz w:val="24"/>
          <w:szCs w:val="24"/>
          <w:u w:val="single"/>
        </w:rPr>
        <w:t xml:space="preserve"> Purpose</w:t>
      </w:r>
      <w:r w:rsidRPr="0009505C">
        <w:rPr>
          <w:color w:val="1F497D"/>
          <w:sz w:val="24"/>
          <w:szCs w:val="24"/>
          <w:u w:val="single"/>
        </w:rPr>
        <w:t>,</w:t>
      </w:r>
      <w:r w:rsidRPr="0009505C">
        <w:rPr>
          <w:sz w:val="24"/>
          <w:szCs w:val="24"/>
        </w:rPr>
        <w:t xml:space="preserve"> </w:t>
      </w:r>
      <w:r w:rsidRPr="0009505C">
        <w:rPr>
          <w:strike/>
          <w:sz w:val="24"/>
          <w:szCs w:val="24"/>
        </w:rPr>
        <w:t>shall be</w:t>
      </w:r>
      <w:r w:rsidRPr="0009505C">
        <w:rPr>
          <w:sz w:val="24"/>
          <w:szCs w:val="24"/>
        </w:rPr>
        <w:t xml:space="preserve"> </w:t>
      </w:r>
      <w:r w:rsidRPr="0009505C">
        <w:rPr>
          <w:sz w:val="24"/>
          <w:szCs w:val="24"/>
          <w:u w:val="single"/>
        </w:rPr>
        <w:t>is</w:t>
      </w:r>
      <w:r w:rsidRPr="0009505C">
        <w:rPr>
          <w:sz w:val="24"/>
          <w:szCs w:val="24"/>
        </w:rPr>
        <w:t xml:space="preserve"> submitted to and </w:t>
      </w:r>
      <w:r w:rsidRPr="0009505C">
        <w:rPr>
          <w:sz w:val="24"/>
          <w:szCs w:val="24"/>
          <w:u w:val="single"/>
        </w:rPr>
        <w:t>recommended by the Planning and Zoning Board.</w:t>
      </w:r>
      <w:r w:rsidRPr="0009505C">
        <w:rPr>
          <w:sz w:val="24"/>
          <w:szCs w:val="24"/>
        </w:rPr>
        <w:t xml:space="preserve"> </w:t>
      </w:r>
      <w:r w:rsidRPr="0009505C">
        <w:rPr>
          <w:sz w:val="24"/>
          <w:szCs w:val="24"/>
          <w:u w:val="single"/>
        </w:rPr>
        <w:t xml:space="preserve">The </w:t>
      </w:r>
      <w:proofErr w:type="gramStart"/>
      <w:r w:rsidRPr="0009505C">
        <w:rPr>
          <w:sz w:val="24"/>
          <w:szCs w:val="24"/>
          <w:u w:val="single"/>
        </w:rPr>
        <w:t>Master Plan for John Knox Village is</w:t>
      </w:r>
      <w:r w:rsidRPr="0009505C">
        <w:rPr>
          <w:sz w:val="24"/>
          <w:szCs w:val="24"/>
        </w:rPr>
        <w:t xml:space="preserve"> approved by the City Commission via City </w:t>
      </w:r>
      <w:proofErr w:type="spellStart"/>
      <w:r w:rsidRPr="0009505C">
        <w:rPr>
          <w:strike/>
          <w:sz w:val="24"/>
          <w:szCs w:val="24"/>
        </w:rPr>
        <w:t>r</w:t>
      </w:r>
      <w:r w:rsidRPr="0009505C">
        <w:rPr>
          <w:sz w:val="24"/>
          <w:szCs w:val="24"/>
          <w:u w:val="single"/>
        </w:rPr>
        <w:t>Resolution</w:t>
      </w:r>
      <w:proofErr w:type="spellEnd"/>
      <w:proofErr w:type="gramEnd"/>
      <w:r w:rsidRPr="0009505C">
        <w:rPr>
          <w:sz w:val="24"/>
          <w:szCs w:val="24"/>
          <w:u w:val="single"/>
        </w:rPr>
        <w:t xml:space="preserve"> No. _________,</w:t>
      </w:r>
      <w:r w:rsidRPr="0009505C">
        <w:rPr>
          <w:sz w:val="24"/>
          <w:szCs w:val="24"/>
        </w:rPr>
        <w:t xml:space="preserve"> </w:t>
      </w:r>
      <w:r w:rsidRPr="0009505C">
        <w:rPr>
          <w:strike/>
          <w:sz w:val="24"/>
          <w:szCs w:val="24"/>
        </w:rPr>
        <w:t>upon recommendation by the Planning and Zoning Board.,</w:t>
      </w:r>
      <w:r w:rsidRPr="0009505C">
        <w:rPr>
          <w:sz w:val="24"/>
          <w:szCs w:val="24"/>
          <w:u w:val="single"/>
        </w:rPr>
        <w:t xml:space="preserve"> as may be amended.</w:t>
      </w:r>
    </w:p>
    <w:p w14:paraId="10F483DA" w14:textId="77777777" w:rsidR="00CA2181" w:rsidRDefault="00CA2181" w:rsidP="00914493">
      <w:pPr>
        <w:pStyle w:val="Compact"/>
        <w:ind w:left="720"/>
      </w:pPr>
    </w:p>
    <w:p w14:paraId="34FBD72D" w14:textId="6BA64AA4" w:rsidR="006D6687" w:rsidRDefault="00E5758B" w:rsidP="00E5758B">
      <w:pPr>
        <w:pStyle w:val="Compact"/>
        <w:numPr>
          <w:ilvl w:val="0"/>
          <w:numId w:val="7"/>
        </w:numPr>
      </w:pPr>
      <w:r w:rsidRPr="00914493">
        <w:rPr>
          <w:b/>
          <w:bCs/>
        </w:rPr>
        <w:t>Minor Deviations from Approved Master Plan</w:t>
      </w:r>
    </w:p>
    <w:p w14:paraId="670A87EE" w14:textId="20A6A9FD" w:rsidR="00E5758B" w:rsidRDefault="00E5758B" w:rsidP="006D6687">
      <w:pPr>
        <w:pStyle w:val="Compact"/>
        <w:ind w:left="720"/>
      </w:pPr>
      <w:r>
        <w:t>Minor deviations may be permitted by the Development Services Director in accordance with the procedural requirements of Section 155.2405.J. Planned Development, Minor Deviations from Approved PD Plan. Any changes not determined to be a minor deviation shall be reviewed and approved via City resolution.</w:t>
      </w:r>
    </w:p>
    <w:p w14:paraId="34D412CC" w14:textId="77777777" w:rsidR="006D2225" w:rsidRDefault="006D2225" w:rsidP="006D6687">
      <w:pPr>
        <w:pStyle w:val="Compact"/>
        <w:ind w:left="720"/>
      </w:pPr>
    </w:p>
    <w:p w14:paraId="60A1A53E" w14:textId="77777777" w:rsidR="006D6687" w:rsidRDefault="00E5758B" w:rsidP="00E5758B">
      <w:pPr>
        <w:pStyle w:val="Compact"/>
        <w:numPr>
          <w:ilvl w:val="0"/>
          <w:numId w:val="7"/>
        </w:numPr>
      </w:pPr>
      <w:r w:rsidRPr="00914493">
        <w:rPr>
          <w:b/>
          <w:bCs/>
        </w:rPr>
        <w:t>Approval of Site Plans</w:t>
      </w:r>
    </w:p>
    <w:p w14:paraId="161CA4B0" w14:textId="46E1E550" w:rsidR="00E5758B" w:rsidRDefault="00E5758B" w:rsidP="006D6687">
      <w:pPr>
        <w:pStyle w:val="Compact"/>
        <w:ind w:left="720"/>
      </w:pPr>
      <w:r>
        <w:t>Any site plans for buildings or land areas that are part of the illustrative build out Master Plan shall be reviewed in accordance with the procedural standards of Section 155.2407.D. Minor Site Plan Approval Procedures and Section 155.2408.B.1. Building Design. All development standards otherwise required for a Major Site Plan approval shall be required.</w:t>
      </w:r>
    </w:p>
    <w:p w14:paraId="632719A8" w14:textId="77777777" w:rsidR="006D2225" w:rsidRDefault="006D2225" w:rsidP="006D6687">
      <w:pPr>
        <w:pStyle w:val="Compact"/>
        <w:ind w:left="720"/>
      </w:pPr>
    </w:p>
    <w:p w14:paraId="00AA2C0A" w14:textId="77777777" w:rsidR="006D2225" w:rsidRDefault="00E5758B" w:rsidP="00E5758B">
      <w:pPr>
        <w:pStyle w:val="Compact"/>
        <w:numPr>
          <w:ilvl w:val="0"/>
          <w:numId w:val="7"/>
        </w:numPr>
        <w:rPr>
          <w:b/>
          <w:bCs/>
        </w:rPr>
      </w:pPr>
      <w:r w:rsidRPr="00914493">
        <w:rPr>
          <w:b/>
          <w:bCs/>
        </w:rPr>
        <w:t>Traffic Study Required</w:t>
      </w:r>
    </w:p>
    <w:p w14:paraId="1786CB91" w14:textId="0B770D5A" w:rsidR="006D2225" w:rsidRDefault="00E5758B" w:rsidP="006D2225">
      <w:pPr>
        <w:pStyle w:val="Compact"/>
        <w:ind w:left="720"/>
      </w:pPr>
      <w:r>
        <w:t>The traffic study requirements, based on trip generation thresholds, are as follows:</w:t>
      </w:r>
    </w:p>
    <w:p w14:paraId="7147F681" w14:textId="77777777" w:rsidR="006D2225" w:rsidRDefault="006D2225" w:rsidP="006D2225">
      <w:pPr>
        <w:pStyle w:val="Compact"/>
        <w:ind w:left="720"/>
        <w:rPr>
          <w:b/>
          <w:bCs/>
        </w:rPr>
      </w:pPr>
    </w:p>
    <w:p w14:paraId="53F02FC4" w14:textId="77777777" w:rsidR="00DA2FB6" w:rsidRDefault="00E5758B" w:rsidP="00E5758B">
      <w:pPr>
        <w:pStyle w:val="Compact"/>
        <w:numPr>
          <w:ilvl w:val="0"/>
          <w:numId w:val="8"/>
        </w:numPr>
        <w:rPr>
          <w:b/>
          <w:bCs/>
        </w:rPr>
      </w:pPr>
      <w:r>
        <w:t xml:space="preserve">If the proposed development is expected to generate less than 100 external trips per hour during the a.m. or p.m. peak hour of the adjacent street, a traffic study is not required unless the city determines that a traffic study is necessary due to special circumstances. If the proposed development </w:t>
      </w:r>
      <w:proofErr w:type="gramStart"/>
      <w:r>
        <w:t>is expected</w:t>
      </w:r>
      <w:proofErr w:type="gramEnd"/>
      <w:r>
        <w:t xml:space="preserve"> to generate more than 100 </w:t>
      </w:r>
      <w:r>
        <w:lastRenderedPageBreak/>
        <w:t>external trips per hour during the a.m. or p.m. peak hour of the adjacent street then a traffic study is required. Cost recovery fees will be charged to the applicant for evaluation of the required traffic analyses.</w:t>
      </w:r>
    </w:p>
    <w:p w14:paraId="0AC1010C" w14:textId="77777777" w:rsidR="00DA2FB6" w:rsidRDefault="00DA2FB6" w:rsidP="00DA2FB6">
      <w:pPr>
        <w:pStyle w:val="Compact"/>
        <w:ind w:left="1080"/>
        <w:rPr>
          <w:b/>
          <w:bCs/>
        </w:rPr>
      </w:pPr>
    </w:p>
    <w:p w14:paraId="6A9C1C89" w14:textId="77777777" w:rsidR="00942AD0" w:rsidRDefault="00E5758B" w:rsidP="00E5758B">
      <w:pPr>
        <w:pStyle w:val="Compact"/>
        <w:numPr>
          <w:ilvl w:val="0"/>
          <w:numId w:val="9"/>
        </w:numPr>
        <w:rPr>
          <w:b/>
          <w:bCs/>
        </w:rPr>
      </w:pPr>
      <w:r>
        <w:t>Prior to initiating a traffic study, the applicant's traffic engineer must schedule a methodology meeting with the city and the city's consultant to determine:</w:t>
      </w:r>
    </w:p>
    <w:p w14:paraId="0FD362A9" w14:textId="0322D6EE" w:rsidR="00E5758B" w:rsidRPr="00942AD0" w:rsidRDefault="00E5758B" w:rsidP="00942AD0">
      <w:pPr>
        <w:pStyle w:val="Compact"/>
        <w:numPr>
          <w:ilvl w:val="0"/>
          <w:numId w:val="10"/>
        </w:numPr>
        <w:rPr>
          <w:b/>
          <w:bCs/>
        </w:rPr>
      </w:pPr>
      <w:r>
        <w:t>Study time periods and intersections</w:t>
      </w:r>
    </w:p>
    <w:p w14:paraId="3B7CB4CD" w14:textId="495F978C" w:rsidR="00E5758B" w:rsidRDefault="00E5758B" w:rsidP="00942AD0">
      <w:pPr>
        <w:pStyle w:val="Compact"/>
        <w:numPr>
          <w:ilvl w:val="0"/>
          <w:numId w:val="10"/>
        </w:numPr>
      </w:pPr>
      <w:r>
        <w:t>Data to be collected</w:t>
      </w:r>
    </w:p>
    <w:p w14:paraId="3A30FA49" w14:textId="7345AD86" w:rsidR="00E5758B" w:rsidRDefault="00E5758B" w:rsidP="00942AD0">
      <w:pPr>
        <w:pStyle w:val="Compact"/>
        <w:numPr>
          <w:ilvl w:val="0"/>
          <w:numId w:val="10"/>
        </w:numPr>
      </w:pPr>
      <w:r>
        <w:t>Methodology for trip generation, trip generation factors, trip distribution, and growth rate</w:t>
      </w:r>
    </w:p>
    <w:p w14:paraId="0590D2E2" w14:textId="77777777" w:rsidR="00942AD0" w:rsidRDefault="00E5758B" w:rsidP="00E5758B">
      <w:pPr>
        <w:pStyle w:val="Compact"/>
        <w:numPr>
          <w:ilvl w:val="0"/>
          <w:numId w:val="10"/>
        </w:numPr>
      </w:pPr>
      <w:r>
        <w:t>Programmed roadway improvements and committed developments to be considered in the study</w:t>
      </w:r>
    </w:p>
    <w:p w14:paraId="1499FE52" w14:textId="77777777" w:rsidR="000A6BD7" w:rsidRDefault="00E5758B" w:rsidP="00E5758B">
      <w:pPr>
        <w:pStyle w:val="Compact"/>
        <w:numPr>
          <w:ilvl w:val="0"/>
          <w:numId w:val="10"/>
        </w:numPr>
      </w:pPr>
      <w:r>
        <w:t>Traffic analysis software/level of service standards and analysis factors to be utilized in the analyses and any other pertinent analyses to be included on site-specific basis (entry gate, queueing, neighborhood impact, etc.)</w:t>
      </w:r>
    </w:p>
    <w:p w14:paraId="2C4D25E9" w14:textId="585E9B28" w:rsidR="00E5758B" w:rsidRDefault="00E5758B" w:rsidP="00E5758B">
      <w:pPr>
        <w:pStyle w:val="Compact"/>
        <w:numPr>
          <w:ilvl w:val="0"/>
          <w:numId w:val="10"/>
        </w:numPr>
      </w:pPr>
      <w:r>
        <w:t>The results of this meeting should be summarized in a memorandum by the applicant's traffic engineer to be submitted to the city for review and approval prior to initiating the traffic study.</w:t>
      </w:r>
    </w:p>
    <w:p w14:paraId="40734292" w14:textId="77777777" w:rsidR="000A6BD7" w:rsidRDefault="000A6BD7" w:rsidP="000A6BD7">
      <w:pPr>
        <w:pStyle w:val="Compact"/>
        <w:ind w:left="2520"/>
      </w:pPr>
    </w:p>
    <w:p w14:paraId="26B42C92" w14:textId="43A62823" w:rsidR="00E5758B" w:rsidRDefault="00E5758B" w:rsidP="000A6BD7">
      <w:pPr>
        <w:pStyle w:val="Compact"/>
        <w:numPr>
          <w:ilvl w:val="0"/>
          <w:numId w:val="9"/>
        </w:numPr>
      </w:pPr>
      <w:r>
        <w:t>A traffic study prepared and signed and sealed by a licensed professional engineer should include:</w:t>
      </w:r>
    </w:p>
    <w:p w14:paraId="691E971B" w14:textId="23B1F210" w:rsidR="00E5758B" w:rsidRDefault="00E5758B" w:rsidP="000A6BD7">
      <w:pPr>
        <w:pStyle w:val="Compact"/>
        <w:numPr>
          <w:ilvl w:val="0"/>
          <w:numId w:val="10"/>
        </w:numPr>
      </w:pPr>
      <w:r>
        <w:t>Cover Page</w:t>
      </w:r>
    </w:p>
    <w:p w14:paraId="5597DE3E" w14:textId="7CA00F33" w:rsidR="00E5758B" w:rsidRDefault="00E5758B" w:rsidP="000A6BD7">
      <w:pPr>
        <w:pStyle w:val="Compact"/>
        <w:numPr>
          <w:ilvl w:val="0"/>
          <w:numId w:val="10"/>
        </w:numPr>
      </w:pPr>
      <w:r>
        <w:t>Executive Summary</w:t>
      </w:r>
    </w:p>
    <w:p w14:paraId="3E35DEE5" w14:textId="23740AFE" w:rsidR="00E5758B" w:rsidRDefault="00E5758B" w:rsidP="000A6BD7">
      <w:pPr>
        <w:pStyle w:val="Compact"/>
        <w:numPr>
          <w:ilvl w:val="0"/>
          <w:numId w:val="10"/>
        </w:numPr>
      </w:pPr>
      <w:r>
        <w:t>Table of Contents</w:t>
      </w:r>
    </w:p>
    <w:p w14:paraId="389E370E" w14:textId="77777777" w:rsidR="009A1160" w:rsidRDefault="00E5758B" w:rsidP="00E5758B">
      <w:pPr>
        <w:pStyle w:val="Compact"/>
        <w:numPr>
          <w:ilvl w:val="0"/>
          <w:numId w:val="10"/>
        </w:numPr>
      </w:pPr>
      <w:r>
        <w:t>Introduction including:</w:t>
      </w:r>
    </w:p>
    <w:p w14:paraId="7EF14B4D" w14:textId="77777777" w:rsidR="009A1160" w:rsidRDefault="00E5758B" w:rsidP="00E5758B">
      <w:pPr>
        <w:pStyle w:val="Compact"/>
        <w:numPr>
          <w:ilvl w:val="0"/>
          <w:numId w:val="11"/>
        </w:numPr>
      </w:pPr>
      <w:r>
        <w:t>Development details including location, uses and size, build out year</w:t>
      </w:r>
    </w:p>
    <w:p w14:paraId="67511BD0" w14:textId="77777777" w:rsidR="009A1160" w:rsidRDefault="00E5758B" w:rsidP="00E5758B">
      <w:pPr>
        <w:pStyle w:val="Compact"/>
        <w:numPr>
          <w:ilvl w:val="0"/>
          <w:numId w:val="11"/>
        </w:numPr>
      </w:pPr>
      <w:r>
        <w:t>Project location map/figure</w:t>
      </w:r>
    </w:p>
    <w:p w14:paraId="3757A15F" w14:textId="77777777" w:rsidR="009A1160" w:rsidRDefault="00E5758B" w:rsidP="00E5758B">
      <w:pPr>
        <w:pStyle w:val="Compact"/>
        <w:numPr>
          <w:ilvl w:val="0"/>
          <w:numId w:val="11"/>
        </w:numPr>
      </w:pPr>
      <w:r>
        <w:t>Reference to a site plan to be included in an appendix</w:t>
      </w:r>
    </w:p>
    <w:p w14:paraId="1B6E3578" w14:textId="295830DF" w:rsidR="00E5758B" w:rsidRDefault="00E5758B" w:rsidP="00E5758B">
      <w:pPr>
        <w:pStyle w:val="Compact"/>
        <w:numPr>
          <w:ilvl w:val="0"/>
          <w:numId w:val="11"/>
        </w:numPr>
      </w:pPr>
      <w:r>
        <w:t>Reference to approved methodology memorandum to be included in an appendix</w:t>
      </w:r>
    </w:p>
    <w:p w14:paraId="40AE8727" w14:textId="77777777" w:rsidR="009A1160" w:rsidRDefault="009A1160" w:rsidP="009A1160">
      <w:pPr>
        <w:pStyle w:val="Compact"/>
        <w:ind w:left="2520"/>
      </w:pPr>
    </w:p>
    <w:p w14:paraId="6E0605A5" w14:textId="5597EEBC" w:rsidR="00E5758B" w:rsidRDefault="00E5758B" w:rsidP="009A1160">
      <w:pPr>
        <w:pStyle w:val="Compact"/>
        <w:numPr>
          <w:ilvl w:val="0"/>
          <w:numId w:val="10"/>
        </w:numPr>
      </w:pPr>
      <w:r>
        <w:t>Project Traffic</w:t>
      </w:r>
    </w:p>
    <w:p w14:paraId="78138EF6" w14:textId="443C0E18" w:rsidR="00E5758B" w:rsidRDefault="00E5758B" w:rsidP="009A1160">
      <w:pPr>
        <w:pStyle w:val="Compact"/>
        <w:numPr>
          <w:ilvl w:val="0"/>
          <w:numId w:val="11"/>
        </w:numPr>
      </w:pPr>
      <w:r>
        <w:t>Description of project access and access diagram (to scale) depicting ingress and egress access for the site and internal circulation routes.</w:t>
      </w:r>
    </w:p>
    <w:p w14:paraId="216075AB" w14:textId="4EF57E84" w:rsidR="00E5758B" w:rsidRDefault="00E5758B" w:rsidP="009A1160">
      <w:pPr>
        <w:pStyle w:val="Compact"/>
        <w:numPr>
          <w:ilvl w:val="0"/>
          <w:numId w:val="11"/>
        </w:numPr>
      </w:pPr>
      <w:r>
        <w:t>Trip generation calculations.</w:t>
      </w:r>
    </w:p>
    <w:p w14:paraId="0C8EF62B" w14:textId="29E99900" w:rsidR="00E5758B" w:rsidRDefault="00E5758B" w:rsidP="009A1160">
      <w:pPr>
        <w:pStyle w:val="Compact"/>
        <w:numPr>
          <w:ilvl w:val="0"/>
          <w:numId w:val="11"/>
        </w:numPr>
      </w:pPr>
      <w:r>
        <w:lastRenderedPageBreak/>
        <w:t>Description of trip distribution and assignment procedures including distribution and assignment figures. Note that assignment must account for neighborhood streets.</w:t>
      </w:r>
    </w:p>
    <w:p w14:paraId="019F5FEF" w14:textId="77777777" w:rsidR="009A1160" w:rsidRDefault="009A1160" w:rsidP="009A1160">
      <w:pPr>
        <w:pStyle w:val="Compact"/>
        <w:ind w:left="2880"/>
      </w:pPr>
    </w:p>
    <w:p w14:paraId="63868950" w14:textId="5A2FF983" w:rsidR="00E5758B" w:rsidRDefault="00E5758B" w:rsidP="009A1160">
      <w:pPr>
        <w:pStyle w:val="Compact"/>
        <w:numPr>
          <w:ilvl w:val="0"/>
          <w:numId w:val="10"/>
        </w:numPr>
      </w:pPr>
      <w:r>
        <w:t>Data Collection</w:t>
      </w:r>
    </w:p>
    <w:p w14:paraId="3B4EBD05" w14:textId="7D83FE70" w:rsidR="00E5758B" w:rsidRDefault="00E5758B" w:rsidP="009A1160">
      <w:pPr>
        <w:pStyle w:val="Compact"/>
        <w:numPr>
          <w:ilvl w:val="0"/>
          <w:numId w:val="10"/>
        </w:numPr>
      </w:pPr>
      <w:r>
        <w:t>Existing conditions including existing volume figure</w:t>
      </w:r>
    </w:p>
    <w:p w14:paraId="56B6456D" w14:textId="4BC510EA" w:rsidR="00E5758B" w:rsidRDefault="00E5758B" w:rsidP="009A1160">
      <w:pPr>
        <w:pStyle w:val="Compact"/>
        <w:numPr>
          <w:ilvl w:val="0"/>
          <w:numId w:val="10"/>
        </w:numPr>
      </w:pPr>
      <w:r>
        <w:t>Future background conditions (buildout year without project) including background volume figure</w:t>
      </w:r>
    </w:p>
    <w:p w14:paraId="299253EB" w14:textId="6226AF28" w:rsidR="00E5758B" w:rsidRDefault="00E5758B" w:rsidP="009A1160">
      <w:pPr>
        <w:pStyle w:val="Compact"/>
        <w:numPr>
          <w:ilvl w:val="0"/>
          <w:numId w:val="10"/>
        </w:numPr>
      </w:pPr>
      <w:r>
        <w:t>Future total conditions (buildout year with project) including total volume figure</w:t>
      </w:r>
    </w:p>
    <w:p w14:paraId="6DAA38BB" w14:textId="011A7CAF" w:rsidR="00E5758B" w:rsidRDefault="00E5758B" w:rsidP="009A1160">
      <w:pPr>
        <w:pStyle w:val="Compact"/>
        <w:numPr>
          <w:ilvl w:val="0"/>
          <w:numId w:val="10"/>
        </w:numPr>
      </w:pPr>
      <w:r>
        <w:t>Capacity analyses</w:t>
      </w:r>
    </w:p>
    <w:p w14:paraId="364F6062" w14:textId="702DEF4F" w:rsidR="00E5758B" w:rsidRDefault="00E5758B" w:rsidP="009A1160">
      <w:pPr>
        <w:pStyle w:val="Compact"/>
        <w:numPr>
          <w:ilvl w:val="0"/>
          <w:numId w:val="10"/>
        </w:numPr>
      </w:pPr>
      <w:r>
        <w:t>Intersection approach queueing</w:t>
      </w:r>
    </w:p>
    <w:p w14:paraId="1E317296" w14:textId="2D428A36" w:rsidR="00E5758B" w:rsidRDefault="00E5758B" w:rsidP="009A1160">
      <w:pPr>
        <w:pStyle w:val="Compact"/>
        <w:numPr>
          <w:ilvl w:val="0"/>
          <w:numId w:val="10"/>
        </w:numPr>
      </w:pPr>
      <w:r>
        <w:t>Mitigation strategies (if necessary)</w:t>
      </w:r>
    </w:p>
    <w:p w14:paraId="6A0595F1" w14:textId="6CBCF6D5" w:rsidR="00E5758B" w:rsidRDefault="00E5758B" w:rsidP="009A1160">
      <w:pPr>
        <w:pStyle w:val="Compact"/>
        <w:numPr>
          <w:ilvl w:val="0"/>
          <w:numId w:val="10"/>
        </w:numPr>
      </w:pPr>
      <w:r>
        <w:t>Maneuverability analyses for loading areas/parking garages (if necessary)</w:t>
      </w:r>
    </w:p>
    <w:p w14:paraId="73563A41" w14:textId="28563294" w:rsidR="00E5758B" w:rsidRDefault="00E5758B" w:rsidP="009A1160">
      <w:pPr>
        <w:pStyle w:val="Compact"/>
        <w:numPr>
          <w:ilvl w:val="0"/>
          <w:numId w:val="10"/>
        </w:numPr>
      </w:pPr>
      <w:r>
        <w:t>Consistency with any adopted city neighborhood protection and enhancement plans</w:t>
      </w:r>
    </w:p>
    <w:p w14:paraId="4E05CB8B" w14:textId="0DDF3282" w:rsidR="00E5758B" w:rsidRDefault="00E5758B" w:rsidP="009A1160">
      <w:pPr>
        <w:pStyle w:val="Compact"/>
        <w:numPr>
          <w:ilvl w:val="0"/>
          <w:numId w:val="10"/>
        </w:numPr>
      </w:pPr>
      <w:r>
        <w:t>Bicycle and pedestrian facility inventory in the surrounding area</w:t>
      </w:r>
    </w:p>
    <w:p w14:paraId="4F5E7E1E" w14:textId="46A1576E" w:rsidR="00E5758B" w:rsidRDefault="00E5758B" w:rsidP="009A1160">
      <w:pPr>
        <w:pStyle w:val="Compact"/>
        <w:numPr>
          <w:ilvl w:val="0"/>
          <w:numId w:val="10"/>
        </w:numPr>
      </w:pPr>
      <w:r>
        <w:t>Any other items to be included per the approved methodology</w:t>
      </w:r>
    </w:p>
    <w:p w14:paraId="771930F1" w14:textId="36A3E543" w:rsidR="00E5758B" w:rsidRDefault="00E5758B" w:rsidP="009A1160">
      <w:pPr>
        <w:pStyle w:val="Compact"/>
        <w:numPr>
          <w:ilvl w:val="0"/>
          <w:numId w:val="10"/>
        </w:numPr>
      </w:pPr>
      <w:r>
        <w:t>Conclusions</w:t>
      </w:r>
    </w:p>
    <w:p w14:paraId="0D467F8E" w14:textId="77777777" w:rsidR="00E5758B" w:rsidRPr="006A7230" w:rsidRDefault="00E5758B" w:rsidP="006A7230">
      <w:pPr>
        <w:spacing w:before="100" w:beforeAutospacing="1" w:after="100" w:afterAutospacing="1" w:line="240" w:lineRule="auto"/>
        <w:jc w:val="center"/>
        <w:rPr>
          <w:rFonts w:ascii="Times New Roman" w:eastAsia="Times New Roman" w:hAnsi="Times New Roman" w:cs="Times New Roman"/>
          <w:sz w:val="24"/>
          <w:szCs w:val="24"/>
        </w:rPr>
      </w:pPr>
    </w:p>
    <w:sectPr w:rsidR="00E5758B" w:rsidRPr="006A723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B882F0" w14:textId="77777777" w:rsidR="005C2B90" w:rsidRDefault="005C2B90" w:rsidP="00CA2181">
      <w:pPr>
        <w:spacing w:after="0" w:line="240" w:lineRule="auto"/>
      </w:pPr>
      <w:r>
        <w:separator/>
      </w:r>
    </w:p>
  </w:endnote>
  <w:endnote w:type="continuationSeparator" w:id="0">
    <w:p w14:paraId="7BC2C11C" w14:textId="77777777" w:rsidR="005C2B90" w:rsidRDefault="005C2B90" w:rsidP="00CA21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Gill Sans MT">
    <w:panose1 w:val="020B0502020104020203"/>
    <w:charset w:val="00"/>
    <w:family w:val="swiss"/>
    <w:pitch w:val="variable"/>
    <w:sig w:usb0="00000007"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illSansMT,Bold">
    <w:altName w:val="Calibri"/>
    <w:panose1 w:val="00000000000000000000"/>
    <w:charset w:val="00"/>
    <w:family w:val="swiss"/>
    <w:notTrueType/>
    <w:pitch w:val="default"/>
    <w:sig w:usb0="00000003" w:usb1="00000000" w:usb2="00000000" w:usb3="00000000" w:csb0="00000001" w:csb1="00000000"/>
  </w:font>
  <w:font w:name="GillSansMT">
    <w:altName w:val="Calibri"/>
    <w:panose1 w:val="00000000000000000000"/>
    <w:charset w:val="00"/>
    <w:family w:val="swiss"/>
    <w:notTrueType/>
    <w:pitch w:val="default"/>
    <w:sig w:usb0="00000003" w:usb1="00000000" w:usb2="00000000" w:usb3="00000000" w:csb0="00000001"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CC814" w14:textId="0F750697" w:rsidR="00CA2181" w:rsidRDefault="00CA2181" w:rsidP="00CA2181">
    <w:pPr>
      <w:pStyle w:val="Footer"/>
      <w:jc w:val="center"/>
    </w:pPr>
    <w:r>
      <w:fldChar w:fldCharType="begin"/>
    </w:r>
    <w:r>
      <w:instrText xml:space="preserve"> PAGE   \* MERGEFORMAT </w:instrText>
    </w:r>
    <w:r>
      <w:fldChar w:fldCharType="separate"/>
    </w:r>
    <w:r w:rsidR="0009505C">
      <w:rPr>
        <w:noProof/>
      </w:rPr>
      <w:t>4</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1F7DF" w14:textId="77777777" w:rsidR="005C2B90" w:rsidRDefault="005C2B90" w:rsidP="00CA2181">
      <w:pPr>
        <w:spacing w:after="0" w:line="240" w:lineRule="auto"/>
      </w:pPr>
      <w:r>
        <w:separator/>
      </w:r>
    </w:p>
  </w:footnote>
  <w:footnote w:type="continuationSeparator" w:id="0">
    <w:p w14:paraId="7729A7BD" w14:textId="77777777" w:rsidR="005C2B90" w:rsidRDefault="005C2B90" w:rsidP="00CA21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55C86368"/>
    <w:lvl w:ilvl="0">
      <w:start w:val="1"/>
      <w:numFmt w:val="decimal"/>
      <w:lvlText w:val="%1."/>
      <w:lvlJc w:val="left"/>
      <w:pPr>
        <w:ind w:left="357" w:hanging="200"/>
      </w:pPr>
      <w:rPr>
        <w:rFonts w:ascii="Gill Sans MT" w:hAnsi="Gill Sans MT" w:cs="Gill Sans MT"/>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 w15:restartNumberingAfterBreak="0">
    <w:nsid w:val="01FF4549"/>
    <w:multiLevelType w:val="hybridMultilevel"/>
    <w:tmpl w:val="8B62C4F6"/>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15:restartNumberingAfterBreak="0">
    <w:nsid w:val="0D594592"/>
    <w:multiLevelType w:val="hybridMultilevel"/>
    <w:tmpl w:val="C270D9D4"/>
    <w:lvl w:ilvl="0" w:tplc="04090019">
      <w:start w:val="1"/>
      <w:numFmt w:val="lowerLetter"/>
      <w:lvlText w:val="%1."/>
      <w:lvlJc w:val="left"/>
      <w:pPr>
        <w:ind w:left="1050" w:hanging="360"/>
      </w:pPr>
      <w:rPr>
        <w:rFonts w:hint="default"/>
      </w:rPr>
    </w:lvl>
    <w:lvl w:ilvl="1" w:tplc="04090019">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3" w15:restartNumberingAfterBreak="0">
    <w:nsid w:val="15BE5848"/>
    <w:multiLevelType w:val="hybridMultilevel"/>
    <w:tmpl w:val="1ED2D0D4"/>
    <w:lvl w:ilvl="0" w:tplc="3F1684DA">
      <w:start w:val="1"/>
      <w:numFmt w:val="bullet"/>
      <w:lvlText w:val="-"/>
      <w:lvlJc w:val="left"/>
      <w:pPr>
        <w:ind w:left="2880" w:hanging="360"/>
      </w:pPr>
      <w:rPr>
        <w:rFonts w:ascii="Calibri" w:eastAsiaTheme="minorHAnsi" w:hAnsi="Calibri" w:cs="Calibri"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19410356"/>
    <w:multiLevelType w:val="hybridMultilevel"/>
    <w:tmpl w:val="806E81A6"/>
    <w:lvl w:ilvl="0" w:tplc="0BFC0F7C">
      <w:start w:val="1"/>
      <w:numFmt w:val="decimal"/>
      <w:lvlText w:val="%1."/>
      <w:lvlJc w:val="left"/>
      <w:pPr>
        <w:ind w:left="690" w:hanging="360"/>
      </w:pPr>
      <w:rPr>
        <w:rFonts w:hint="default"/>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5" w15:restartNumberingAfterBreak="0">
    <w:nsid w:val="1CEB28C1"/>
    <w:multiLevelType w:val="hybridMultilevel"/>
    <w:tmpl w:val="DEBEC44A"/>
    <w:lvl w:ilvl="0" w:tplc="E756940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791721"/>
    <w:multiLevelType w:val="hybridMultilevel"/>
    <w:tmpl w:val="F2E6E9C2"/>
    <w:lvl w:ilvl="0" w:tplc="5EA2F37E">
      <w:start w:val="1"/>
      <w:numFmt w:val="lowerLetter"/>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F0F15F5"/>
    <w:multiLevelType w:val="hybridMultilevel"/>
    <w:tmpl w:val="81BA1BA0"/>
    <w:lvl w:ilvl="0" w:tplc="5C38373C">
      <w:start w:val="1"/>
      <w:numFmt w:val="lowerLetter"/>
      <w:lvlText w:val="%1."/>
      <w:lvlJc w:val="left"/>
      <w:pPr>
        <w:ind w:left="1050" w:hanging="360"/>
      </w:pPr>
      <w:rPr>
        <w:rFonts w:hint="default"/>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8" w15:restartNumberingAfterBreak="0">
    <w:nsid w:val="2F922595"/>
    <w:multiLevelType w:val="hybridMultilevel"/>
    <w:tmpl w:val="E0F4ABA2"/>
    <w:lvl w:ilvl="0" w:tplc="DC6A4FFE">
      <w:start w:val="1"/>
      <w:numFmt w:val="lowerRoman"/>
      <w:lvlText w:val="%1."/>
      <w:lvlJc w:val="right"/>
      <w:pPr>
        <w:ind w:left="1800" w:hanging="360"/>
      </w:pPr>
      <w:rPr>
        <w:b w:val="0"/>
        <w:bCs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34473527"/>
    <w:multiLevelType w:val="hybridMultilevel"/>
    <w:tmpl w:val="B29CB67A"/>
    <w:lvl w:ilvl="0" w:tplc="28B05C42">
      <w:start w:val="1"/>
      <w:numFmt w:val="upperLetter"/>
      <w:lvlText w:val="%1."/>
      <w:lvlJc w:val="left"/>
      <w:pPr>
        <w:ind w:left="1050" w:hanging="360"/>
      </w:pPr>
      <w:rPr>
        <w:rFonts w:hint="default"/>
        <w:b w:val="0"/>
      </w:rPr>
    </w:lvl>
    <w:lvl w:ilvl="1" w:tplc="04090019" w:tentative="1">
      <w:start w:val="1"/>
      <w:numFmt w:val="lowerLetter"/>
      <w:lvlText w:val="%2."/>
      <w:lvlJc w:val="left"/>
      <w:pPr>
        <w:ind w:left="1770" w:hanging="360"/>
      </w:pPr>
    </w:lvl>
    <w:lvl w:ilvl="2" w:tplc="0409001B" w:tentative="1">
      <w:start w:val="1"/>
      <w:numFmt w:val="lowerRoman"/>
      <w:lvlText w:val="%3."/>
      <w:lvlJc w:val="right"/>
      <w:pPr>
        <w:ind w:left="2490" w:hanging="180"/>
      </w:pPr>
    </w:lvl>
    <w:lvl w:ilvl="3" w:tplc="0409000F" w:tentative="1">
      <w:start w:val="1"/>
      <w:numFmt w:val="decimal"/>
      <w:lvlText w:val="%4."/>
      <w:lvlJc w:val="left"/>
      <w:pPr>
        <w:ind w:left="3210" w:hanging="360"/>
      </w:pPr>
    </w:lvl>
    <w:lvl w:ilvl="4" w:tplc="04090019" w:tentative="1">
      <w:start w:val="1"/>
      <w:numFmt w:val="lowerLetter"/>
      <w:lvlText w:val="%5."/>
      <w:lvlJc w:val="left"/>
      <w:pPr>
        <w:ind w:left="3930" w:hanging="360"/>
      </w:pPr>
    </w:lvl>
    <w:lvl w:ilvl="5" w:tplc="0409001B" w:tentative="1">
      <w:start w:val="1"/>
      <w:numFmt w:val="lowerRoman"/>
      <w:lvlText w:val="%6."/>
      <w:lvlJc w:val="right"/>
      <w:pPr>
        <w:ind w:left="4650" w:hanging="180"/>
      </w:pPr>
    </w:lvl>
    <w:lvl w:ilvl="6" w:tplc="0409000F" w:tentative="1">
      <w:start w:val="1"/>
      <w:numFmt w:val="decimal"/>
      <w:lvlText w:val="%7."/>
      <w:lvlJc w:val="left"/>
      <w:pPr>
        <w:ind w:left="5370" w:hanging="360"/>
      </w:pPr>
    </w:lvl>
    <w:lvl w:ilvl="7" w:tplc="04090019" w:tentative="1">
      <w:start w:val="1"/>
      <w:numFmt w:val="lowerLetter"/>
      <w:lvlText w:val="%8."/>
      <w:lvlJc w:val="left"/>
      <w:pPr>
        <w:ind w:left="6090" w:hanging="360"/>
      </w:pPr>
    </w:lvl>
    <w:lvl w:ilvl="8" w:tplc="0409001B" w:tentative="1">
      <w:start w:val="1"/>
      <w:numFmt w:val="lowerRoman"/>
      <w:lvlText w:val="%9."/>
      <w:lvlJc w:val="right"/>
      <w:pPr>
        <w:ind w:left="6810" w:hanging="180"/>
      </w:pPr>
    </w:lvl>
  </w:abstractNum>
  <w:abstractNum w:abstractNumId="10" w15:restartNumberingAfterBreak="0">
    <w:nsid w:val="44B77389"/>
    <w:multiLevelType w:val="multilevel"/>
    <w:tmpl w:val="FF4E13A2"/>
    <w:lvl w:ilvl="0">
      <w:start w:val="1"/>
      <w:numFmt w:val="decimal"/>
      <w:lvlText w:val="%1."/>
      <w:lvlJc w:val="left"/>
      <w:pPr>
        <w:ind w:left="357" w:hanging="200"/>
      </w:pPr>
      <w:rPr>
        <w:rFonts w:asciiTheme="minorHAnsi" w:eastAsiaTheme="minorHAnsi" w:hAnsiTheme="minorHAnsi" w:cstheme="minorBidi"/>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1" w15:restartNumberingAfterBreak="0">
    <w:nsid w:val="5A9D041A"/>
    <w:multiLevelType w:val="multilevel"/>
    <w:tmpl w:val="0916E1E4"/>
    <w:lvl w:ilvl="0">
      <w:start w:val="1"/>
      <w:numFmt w:val="decimal"/>
      <w:lvlText w:val="%1."/>
      <w:lvlJc w:val="left"/>
      <w:pPr>
        <w:ind w:left="357" w:hanging="200"/>
      </w:pPr>
      <w:rPr>
        <w:rFonts w:asciiTheme="minorHAnsi" w:eastAsiaTheme="minorHAnsi" w:hAnsiTheme="minorHAnsi" w:cstheme="minorBidi"/>
        <w:b w:val="0"/>
        <w:bCs w:val="0"/>
        <w:spacing w:val="0"/>
        <w:w w:val="99"/>
        <w:sz w:val="20"/>
        <w:szCs w:val="20"/>
      </w:rPr>
    </w:lvl>
    <w:lvl w:ilvl="1">
      <w:numFmt w:val="bullet"/>
      <w:lvlText w:val="•"/>
      <w:lvlJc w:val="left"/>
      <w:pPr>
        <w:ind w:left="1306" w:hanging="200"/>
      </w:pPr>
    </w:lvl>
    <w:lvl w:ilvl="2">
      <w:numFmt w:val="bullet"/>
      <w:lvlText w:val="•"/>
      <w:lvlJc w:val="left"/>
      <w:pPr>
        <w:ind w:left="2252" w:hanging="200"/>
      </w:pPr>
    </w:lvl>
    <w:lvl w:ilvl="3">
      <w:numFmt w:val="bullet"/>
      <w:lvlText w:val="•"/>
      <w:lvlJc w:val="left"/>
      <w:pPr>
        <w:ind w:left="3198" w:hanging="200"/>
      </w:pPr>
    </w:lvl>
    <w:lvl w:ilvl="4">
      <w:numFmt w:val="bullet"/>
      <w:lvlText w:val="•"/>
      <w:lvlJc w:val="left"/>
      <w:pPr>
        <w:ind w:left="4144" w:hanging="200"/>
      </w:pPr>
    </w:lvl>
    <w:lvl w:ilvl="5">
      <w:numFmt w:val="bullet"/>
      <w:lvlText w:val="•"/>
      <w:lvlJc w:val="left"/>
      <w:pPr>
        <w:ind w:left="5090" w:hanging="200"/>
      </w:pPr>
    </w:lvl>
    <w:lvl w:ilvl="6">
      <w:numFmt w:val="bullet"/>
      <w:lvlText w:val="•"/>
      <w:lvlJc w:val="left"/>
      <w:pPr>
        <w:ind w:left="6036" w:hanging="200"/>
      </w:pPr>
    </w:lvl>
    <w:lvl w:ilvl="7">
      <w:numFmt w:val="bullet"/>
      <w:lvlText w:val="•"/>
      <w:lvlJc w:val="left"/>
      <w:pPr>
        <w:ind w:left="6982" w:hanging="200"/>
      </w:pPr>
    </w:lvl>
    <w:lvl w:ilvl="8">
      <w:numFmt w:val="bullet"/>
      <w:lvlText w:val="•"/>
      <w:lvlJc w:val="left"/>
      <w:pPr>
        <w:ind w:left="7928" w:hanging="200"/>
      </w:pPr>
    </w:lvl>
  </w:abstractNum>
  <w:abstractNum w:abstractNumId="12" w15:restartNumberingAfterBreak="0">
    <w:nsid w:val="7980082D"/>
    <w:multiLevelType w:val="hybridMultilevel"/>
    <w:tmpl w:val="E1BEDE2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2"/>
  </w:num>
  <w:num w:numId="3">
    <w:abstractNumId w:val="4"/>
  </w:num>
  <w:num w:numId="4">
    <w:abstractNumId w:val="9"/>
  </w:num>
  <w:num w:numId="5">
    <w:abstractNumId w:val="2"/>
  </w:num>
  <w:num w:numId="6">
    <w:abstractNumId w:val="7"/>
  </w:num>
  <w:num w:numId="7">
    <w:abstractNumId w:val="5"/>
  </w:num>
  <w:num w:numId="8">
    <w:abstractNumId w:val="6"/>
  </w:num>
  <w:num w:numId="9">
    <w:abstractNumId w:val="8"/>
  </w:num>
  <w:num w:numId="10">
    <w:abstractNumId w:val="1"/>
  </w:num>
  <w:num w:numId="11">
    <w:abstractNumId w:val="3"/>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230"/>
    <w:rsid w:val="0001651F"/>
    <w:rsid w:val="000678FC"/>
    <w:rsid w:val="00076441"/>
    <w:rsid w:val="0009505C"/>
    <w:rsid w:val="000A6BD7"/>
    <w:rsid w:val="000E4639"/>
    <w:rsid w:val="00153FEF"/>
    <w:rsid w:val="0017307C"/>
    <w:rsid w:val="001A3A52"/>
    <w:rsid w:val="001A5AAA"/>
    <w:rsid w:val="001E179A"/>
    <w:rsid w:val="001F19B1"/>
    <w:rsid w:val="00251908"/>
    <w:rsid w:val="00264E60"/>
    <w:rsid w:val="00321A0E"/>
    <w:rsid w:val="00354B46"/>
    <w:rsid w:val="00360372"/>
    <w:rsid w:val="003B6922"/>
    <w:rsid w:val="003C5C89"/>
    <w:rsid w:val="003E4FFC"/>
    <w:rsid w:val="00405EAC"/>
    <w:rsid w:val="00442CC2"/>
    <w:rsid w:val="00483FDF"/>
    <w:rsid w:val="00485F31"/>
    <w:rsid w:val="004E4AB5"/>
    <w:rsid w:val="00522DE1"/>
    <w:rsid w:val="005A1058"/>
    <w:rsid w:val="005A7C07"/>
    <w:rsid w:val="005C2B90"/>
    <w:rsid w:val="005E21B5"/>
    <w:rsid w:val="005F6DB2"/>
    <w:rsid w:val="00635D84"/>
    <w:rsid w:val="00673A9D"/>
    <w:rsid w:val="006A4F14"/>
    <w:rsid w:val="006A7230"/>
    <w:rsid w:val="006D2225"/>
    <w:rsid w:val="006D6687"/>
    <w:rsid w:val="0084021A"/>
    <w:rsid w:val="00843B78"/>
    <w:rsid w:val="00856692"/>
    <w:rsid w:val="00914493"/>
    <w:rsid w:val="00930425"/>
    <w:rsid w:val="00942AD0"/>
    <w:rsid w:val="00945A2B"/>
    <w:rsid w:val="009A1160"/>
    <w:rsid w:val="009B602A"/>
    <w:rsid w:val="00A5659B"/>
    <w:rsid w:val="00AC49BA"/>
    <w:rsid w:val="00AD09C4"/>
    <w:rsid w:val="00B93BBF"/>
    <w:rsid w:val="00CA2181"/>
    <w:rsid w:val="00CB59D9"/>
    <w:rsid w:val="00CB5C35"/>
    <w:rsid w:val="00D1039C"/>
    <w:rsid w:val="00D37DCB"/>
    <w:rsid w:val="00DA2FB6"/>
    <w:rsid w:val="00DB033C"/>
    <w:rsid w:val="00E541F7"/>
    <w:rsid w:val="00E5758B"/>
    <w:rsid w:val="00E85A6D"/>
    <w:rsid w:val="00EB1ED0"/>
    <w:rsid w:val="00EB2FCC"/>
    <w:rsid w:val="00EB5C32"/>
    <w:rsid w:val="00EC47A9"/>
    <w:rsid w:val="00ED4148"/>
    <w:rsid w:val="00EE3E0D"/>
    <w:rsid w:val="00EF0D73"/>
    <w:rsid w:val="00F12FFA"/>
    <w:rsid w:val="00F73865"/>
    <w:rsid w:val="00FA578A"/>
    <w:rsid w:val="00FE388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E6401"/>
  <w15:chartTrackingRefBased/>
  <w15:docId w15:val="{9F86550F-F01C-42B7-BE5B-793AC9EB1C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6A723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TopofFormChar">
    <w:name w:val="z-Top of Form Char"/>
    <w:basedOn w:val="DefaultParagraphFont"/>
    <w:link w:val="z-TopofForm"/>
    <w:uiPriority w:val="99"/>
    <w:semiHidden/>
    <w:rsid w:val="006A7230"/>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6A7230"/>
    <w:pPr>
      <w:pBdr>
        <w:top w:val="single" w:sz="6" w:space="1" w:color="auto"/>
      </w:pBdr>
      <w:spacing w:after="0" w:line="240" w:lineRule="auto"/>
      <w:jc w:val="center"/>
    </w:pPr>
    <w:rPr>
      <w:rFonts w:ascii="Arial" w:eastAsia="Times New Roman" w:hAnsi="Arial" w:cs="Arial"/>
      <w:vanish/>
      <w:sz w:val="16"/>
      <w:szCs w:val="16"/>
    </w:rPr>
  </w:style>
  <w:style w:type="character" w:customStyle="1" w:styleId="z-BottomofFormChar">
    <w:name w:val="z-Bottom of Form Char"/>
    <w:basedOn w:val="DefaultParagraphFont"/>
    <w:link w:val="z-BottomofForm"/>
    <w:uiPriority w:val="99"/>
    <w:semiHidden/>
    <w:rsid w:val="006A7230"/>
    <w:rPr>
      <w:rFonts w:ascii="Arial" w:eastAsia="Times New Roman" w:hAnsi="Arial" w:cs="Arial"/>
      <w:vanish/>
      <w:sz w:val="16"/>
      <w:szCs w:val="16"/>
    </w:rPr>
  </w:style>
  <w:style w:type="paragraph" w:styleId="NormalWeb">
    <w:name w:val="Normal (Web)"/>
    <w:basedOn w:val="Normal"/>
    <w:uiPriority w:val="99"/>
    <w:semiHidden/>
    <w:unhideWhenUsed/>
    <w:rsid w:val="006A7230"/>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6A7230"/>
    <w:rPr>
      <w:color w:val="0000FF"/>
      <w:u w:val="single"/>
    </w:rPr>
  </w:style>
  <w:style w:type="paragraph" w:styleId="ListParagraph">
    <w:name w:val="List Paragraph"/>
    <w:basedOn w:val="Normal"/>
    <w:uiPriority w:val="1"/>
    <w:qFormat/>
    <w:rsid w:val="00264E60"/>
    <w:pPr>
      <w:ind w:left="720"/>
      <w:contextualSpacing/>
    </w:pPr>
  </w:style>
  <w:style w:type="paragraph" w:customStyle="1" w:styleId="Compact">
    <w:name w:val="Compact"/>
    <w:basedOn w:val="BodyText"/>
    <w:qFormat/>
    <w:rsid w:val="00E5758B"/>
    <w:pPr>
      <w:spacing w:before="36" w:after="36" w:line="240" w:lineRule="auto"/>
    </w:pPr>
    <w:rPr>
      <w:sz w:val="24"/>
      <w:szCs w:val="24"/>
    </w:rPr>
  </w:style>
  <w:style w:type="paragraph" w:styleId="BodyText">
    <w:name w:val="Body Text"/>
    <w:basedOn w:val="Normal"/>
    <w:link w:val="BodyTextChar"/>
    <w:uiPriority w:val="99"/>
    <w:semiHidden/>
    <w:unhideWhenUsed/>
    <w:rsid w:val="00E5758B"/>
    <w:pPr>
      <w:spacing w:after="120"/>
    </w:pPr>
  </w:style>
  <w:style w:type="character" w:customStyle="1" w:styleId="BodyTextChar">
    <w:name w:val="Body Text Char"/>
    <w:basedOn w:val="DefaultParagraphFont"/>
    <w:link w:val="BodyText"/>
    <w:uiPriority w:val="99"/>
    <w:semiHidden/>
    <w:rsid w:val="00E5758B"/>
  </w:style>
  <w:style w:type="paragraph" w:customStyle="1" w:styleId="TableParagraph">
    <w:name w:val="Table Paragraph"/>
    <w:basedOn w:val="Normal"/>
    <w:uiPriority w:val="1"/>
    <w:qFormat/>
    <w:rsid w:val="00EC47A9"/>
    <w:pPr>
      <w:autoSpaceDE w:val="0"/>
      <w:autoSpaceDN w:val="0"/>
      <w:adjustRightInd w:val="0"/>
      <w:spacing w:before="124" w:after="0" w:line="240" w:lineRule="auto"/>
      <w:ind w:left="110"/>
    </w:pPr>
    <w:rPr>
      <w:rFonts w:ascii="Gill Sans MT" w:hAnsi="Gill Sans MT" w:cs="Gill Sans MT"/>
      <w:sz w:val="24"/>
      <w:szCs w:val="24"/>
    </w:rPr>
  </w:style>
  <w:style w:type="table" w:styleId="TableGrid">
    <w:name w:val="Table Grid"/>
    <w:basedOn w:val="TableNormal"/>
    <w:uiPriority w:val="39"/>
    <w:rsid w:val="004E4A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218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2181"/>
  </w:style>
  <w:style w:type="paragraph" w:styleId="Footer">
    <w:name w:val="footer"/>
    <w:basedOn w:val="Normal"/>
    <w:link w:val="FooterChar"/>
    <w:uiPriority w:val="99"/>
    <w:unhideWhenUsed/>
    <w:rsid w:val="00CA218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2181"/>
  </w:style>
  <w:style w:type="paragraph" w:styleId="BalloonText">
    <w:name w:val="Balloon Text"/>
    <w:basedOn w:val="Normal"/>
    <w:link w:val="BalloonTextChar"/>
    <w:uiPriority w:val="99"/>
    <w:semiHidden/>
    <w:unhideWhenUsed/>
    <w:rsid w:val="005A10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058"/>
    <w:rPr>
      <w:rFonts w:ascii="Segoe UI" w:hAnsi="Segoe UI" w:cs="Segoe UI"/>
      <w:sz w:val="18"/>
      <w:szCs w:val="18"/>
    </w:rPr>
  </w:style>
  <w:style w:type="character" w:styleId="CommentReference">
    <w:name w:val="annotation reference"/>
    <w:basedOn w:val="DefaultParagraphFont"/>
    <w:uiPriority w:val="99"/>
    <w:semiHidden/>
    <w:unhideWhenUsed/>
    <w:rsid w:val="005A1058"/>
    <w:rPr>
      <w:sz w:val="16"/>
      <w:szCs w:val="16"/>
    </w:rPr>
  </w:style>
  <w:style w:type="paragraph" w:styleId="CommentText">
    <w:name w:val="annotation text"/>
    <w:basedOn w:val="Normal"/>
    <w:link w:val="CommentTextChar"/>
    <w:uiPriority w:val="99"/>
    <w:semiHidden/>
    <w:unhideWhenUsed/>
    <w:rsid w:val="005A1058"/>
    <w:pPr>
      <w:spacing w:line="240" w:lineRule="auto"/>
    </w:pPr>
    <w:rPr>
      <w:sz w:val="20"/>
      <w:szCs w:val="20"/>
    </w:rPr>
  </w:style>
  <w:style w:type="character" w:customStyle="1" w:styleId="CommentTextChar">
    <w:name w:val="Comment Text Char"/>
    <w:basedOn w:val="DefaultParagraphFont"/>
    <w:link w:val="CommentText"/>
    <w:uiPriority w:val="99"/>
    <w:semiHidden/>
    <w:rsid w:val="005A1058"/>
    <w:rPr>
      <w:sz w:val="20"/>
      <w:szCs w:val="20"/>
    </w:rPr>
  </w:style>
  <w:style w:type="paragraph" w:styleId="CommentSubject">
    <w:name w:val="annotation subject"/>
    <w:basedOn w:val="CommentText"/>
    <w:next w:val="CommentText"/>
    <w:link w:val="CommentSubjectChar"/>
    <w:uiPriority w:val="99"/>
    <w:semiHidden/>
    <w:unhideWhenUsed/>
    <w:rsid w:val="005A1058"/>
    <w:rPr>
      <w:b/>
      <w:bCs/>
    </w:rPr>
  </w:style>
  <w:style w:type="character" w:customStyle="1" w:styleId="CommentSubjectChar">
    <w:name w:val="Comment Subject Char"/>
    <w:basedOn w:val="CommentTextChar"/>
    <w:link w:val="CommentSubject"/>
    <w:uiPriority w:val="99"/>
    <w:semiHidden/>
    <w:rsid w:val="005A1058"/>
    <w:rPr>
      <w:b/>
      <w:bCs/>
      <w:sz w:val="20"/>
      <w:szCs w:val="20"/>
    </w:rPr>
  </w:style>
  <w:style w:type="paragraph" w:styleId="EndnoteText">
    <w:name w:val="endnote text"/>
    <w:basedOn w:val="Normal"/>
    <w:link w:val="EndnoteTextChar"/>
    <w:uiPriority w:val="99"/>
    <w:semiHidden/>
    <w:unhideWhenUsed/>
    <w:rsid w:val="009B602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B602A"/>
    <w:rPr>
      <w:sz w:val="20"/>
      <w:szCs w:val="20"/>
    </w:rPr>
  </w:style>
  <w:style w:type="character" w:styleId="EndnoteReference">
    <w:name w:val="endnote reference"/>
    <w:basedOn w:val="DefaultParagraphFont"/>
    <w:uiPriority w:val="99"/>
    <w:semiHidden/>
    <w:unhideWhenUsed/>
    <w:rsid w:val="009B602A"/>
    <w:rPr>
      <w:vertAlign w:val="superscript"/>
    </w:rPr>
  </w:style>
  <w:style w:type="paragraph" w:styleId="FootnoteText">
    <w:name w:val="footnote text"/>
    <w:basedOn w:val="Normal"/>
    <w:link w:val="FootnoteTextChar"/>
    <w:uiPriority w:val="99"/>
    <w:semiHidden/>
    <w:unhideWhenUsed/>
    <w:rsid w:val="009B602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B602A"/>
    <w:rPr>
      <w:sz w:val="20"/>
      <w:szCs w:val="20"/>
    </w:rPr>
  </w:style>
  <w:style w:type="character" w:styleId="FootnoteReference">
    <w:name w:val="footnote reference"/>
    <w:basedOn w:val="DefaultParagraphFont"/>
    <w:uiPriority w:val="99"/>
    <w:semiHidden/>
    <w:unhideWhenUsed/>
    <w:rsid w:val="009B60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52775">
      <w:bodyDiv w:val="1"/>
      <w:marLeft w:val="0"/>
      <w:marRight w:val="0"/>
      <w:marTop w:val="0"/>
      <w:marBottom w:val="0"/>
      <w:divBdr>
        <w:top w:val="none" w:sz="0" w:space="0" w:color="auto"/>
        <w:left w:val="none" w:sz="0" w:space="0" w:color="auto"/>
        <w:bottom w:val="none" w:sz="0" w:space="0" w:color="auto"/>
        <w:right w:val="none" w:sz="0" w:space="0" w:color="auto"/>
      </w:divBdr>
    </w:div>
    <w:div w:id="618802913">
      <w:bodyDiv w:val="1"/>
      <w:marLeft w:val="0"/>
      <w:marRight w:val="0"/>
      <w:marTop w:val="0"/>
      <w:marBottom w:val="0"/>
      <w:divBdr>
        <w:top w:val="none" w:sz="0" w:space="0" w:color="auto"/>
        <w:left w:val="none" w:sz="0" w:space="0" w:color="auto"/>
        <w:bottom w:val="none" w:sz="0" w:space="0" w:color="auto"/>
        <w:right w:val="none" w:sz="0" w:space="0" w:color="auto"/>
      </w:divBdr>
      <w:divsChild>
        <w:div w:id="1397822455">
          <w:marLeft w:val="0"/>
          <w:marRight w:val="0"/>
          <w:marTop w:val="0"/>
          <w:marBottom w:val="0"/>
          <w:divBdr>
            <w:top w:val="none" w:sz="0" w:space="0" w:color="auto"/>
            <w:left w:val="none" w:sz="0" w:space="0" w:color="auto"/>
            <w:bottom w:val="none" w:sz="0" w:space="0" w:color="auto"/>
            <w:right w:val="none" w:sz="0" w:space="0" w:color="auto"/>
          </w:divBdr>
          <w:divsChild>
            <w:div w:id="676612944">
              <w:marLeft w:val="0"/>
              <w:marRight w:val="0"/>
              <w:marTop w:val="0"/>
              <w:marBottom w:val="0"/>
              <w:divBdr>
                <w:top w:val="none" w:sz="0" w:space="0" w:color="auto"/>
                <w:left w:val="none" w:sz="0" w:space="0" w:color="auto"/>
                <w:bottom w:val="none" w:sz="0" w:space="0" w:color="auto"/>
                <w:right w:val="none" w:sz="0" w:space="0" w:color="auto"/>
              </w:divBdr>
            </w:div>
          </w:divsChild>
        </w:div>
        <w:div w:id="362639089">
          <w:marLeft w:val="0"/>
          <w:marRight w:val="0"/>
          <w:marTop w:val="0"/>
          <w:marBottom w:val="0"/>
          <w:divBdr>
            <w:top w:val="none" w:sz="0" w:space="0" w:color="auto"/>
            <w:left w:val="none" w:sz="0" w:space="0" w:color="auto"/>
            <w:bottom w:val="none" w:sz="0" w:space="0" w:color="auto"/>
            <w:right w:val="none" w:sz="0" w:space="0" w:color="auto"/>
          </w:divBdr>
          <w:divsChild>
            <w:div w:id="1984118291">
              <w:marLeft w:val="0"/>
              <w:marRight w:val="0"/>
              <w:marTop w:val="0"/>
              <w:marBottom w:val="0"/>
              <w:divBdr>
                <w:top w:val="none" w:sz="0" w:space="0" w:color="auto"/>
                <w:left w:val="none" w:sz="0" w:space="0" w:color="auto"/>
                <w:bottom w:val="none" w:sz="0" w:space="0" w:color="auto"/>
                <w:right w:val="none" w:sz="0" w:space="0" w:color="auto"/>
              </w:divBdr>
              <w:divsChild>
                <w:div w:id="57562436">
                  <w:marLeft w:val="0"/>
                  <w:marRight w:val="0"/>
                  <w:marTop w:val="0"/>
                  <w:marBottom w:val="0"/>
                  <w:divBdr>
                    <w:top w:val="none" w:sz="0" w:space="0" w:color="auto"/>
                    <w:left w:val="none" w:sz="0" w:space="0" w:color="auto"/>
                    <w:bottom w:val="none" w:sz="0" w:space="0" w:color="auto"/>
                    <w:right w:val="none" w:sz="0" w:space="0" w:color="auto"/>
                  </w:divBdr>
                </w:div>
                <w:div w:id="1005665239">
                  <w:marLeft w:val="0"/>
                  <w:marRight w:val="0"/>
                  <w:marTop w:val="0"/>
                  <w:marBottom w:val="0"/>
                  <w:divBdr>
                    <w:top w:val="none" w:sz="0" w:space="0" w:color="auto"/>
                    <w:left w:val="none" w:sz="0" w:space="0" w:color="auto"/>
                    <w:bottom w:val="none" w:sz="0" w:space="0" w:color="auto"/>
                    <w:right w:val="none" w:sz="0" w:space="0" w:color="auto"/>
                  </w:divBdr>
                </w:div>
                <w:div w:id="1291738893">
                  <w:marLeft w:val="0"/>
                  <w:marRight w:val="0"/>
                  <w:marTop w:val="0"/>
                  <w:marBottom w:val="0"/>
                  <w:divBdr>
                    <w:top w:val="none" w:sz="0" w:space="0" w:color="auto"/>
                    <w:left w:val="none" w:sz="0" w:space="0" w:color="auto"/>
                    <w:bottom w:val="none" w:sz="0" w:space="0" w:color="auto"/>
                    <w:right w:val="none" w:sz="0" w:space="0" w:color="auto"/>
                  </w:divBdr>
                </w:div>
                <w:div w:id="689642760">
                  <w:marLeft w:val="0"/>
                  <w:marRight w:val="0"/>
                  <w:marTop w:val="0"/>
                  <w:marBottom w:val="0"/>
                  <w:divBdr>
                    <w:top w:val="none" w:sz="0" w:space="0" w:color="auto"/>
                    <w:left w:val="none" w:sz="0" w:space="0" w:color="auto"/>
                    <w:bottom w:val="none" w:sz="0" w:space="0" w:color="auto"/>
                    <w:right w:val="none" w:sz="0" w:space="0" w:color="auto"/>
                  </w:divBdr>
                </w:div>
                <w:div w:id="1050568128">
                  <w:marLeft w:val="0"/>
                  <w:marRight w:val="0"/>
                  <w:marTop w:val="0"/>
                  <w:marBottom w:val="0"/>
                  <w:divBdr>
                    <w:top w:val="none" w:sz="0" w:space="0" w:color="auto"/>
                    <w:left w:val="none" w:sz="0" w:space="0" w:color="auto"/>
                    <w:bottom w:val="none" w:sz="0" w:space="0" w:color="auto"/>
                    <w:right w:val="none" w:sz="0" w:space="0" w:color="auto"/>
                  </w:divBdr>
                </w:div>
                <w:div w:id="775713084">
                  <w:marLeft w:val="0"/>
                  <w:marRight w:val="0"/>
                  <w:marTop w:val="0"/>
                  <w:marBottom w:val="0"/>
                  <w:divBdr>
                    <w:top w:val="none" w:sz="0" w:space="0" w:color="auto"/>
                    <w:left w:val="none" w:sz="0" w:space="0" w:color="auto"/>
                    <w:bottom w:val="none" w:sz="0" w:space="0" w:color="auto"/>
                    <w:right w:val="none" w:sz="0" w:space="0" w:color="auto"/>
                  </w:divBdr>
                </w:div>
                <w:div w:id="1147091134">
                  <w:marLeft w:val="0"/>
                  <w:marRight w:val="0"/>
                  <w:marTop w:val="0"/>
                  <w:marBottom w:val="0"/>
                  <w:divBdr>
                    <w:top w:val="none" w:sz="0" w:space="0" w:color="auto"/>
                    <w:left w:val="none" w:sz="0" w:space="0" w:color="auto"/>
                    <w:bottom w:val="none" w:sz="0" w:space="0" w:color="auto"/>
                    <w:right w:val="none" w:sz="0" w:space="0" w:color="auto"/>
                  </w:divBdr>
                </w:div>
              </w:divsChild>
            </w:div>
            <w:div w:id="1850558096">
              <w:marLeft w:val="0"/>
              <w:marRight w:val="0"/>
              <w:marTop w:val="0"/>
              <w:marBottom w:val="0"/>
              <w:divBdr>
                <w:top w:val="none" w:sz="0" w:space="0" w:color="auto"/>
                <w:left w:val="none" w:sz="0" w:space="0" w:color="auto"/>
                <w:bottom w:val="none" w:sz="0" w:space="0" w:color="auto"/>
                <w:right w:val="none" w:sz="0" w:space="0" w:color="auto"/>
              </w:divBdr>
            </w:div>
          </w:divsChild>
        </w:div>
        <w:div w:id="2090030717">
          <w:marLeft w:val="0"/>
          <w:marRight w:val="0"/>
          <w:marTop w:val="0"/>
          <w:marBottom w:val="0"/>
          <w:divBdr>
            <w:top w:val="none" w:sz="0" w:space="0" w:color="auto"/>
            <w:left w:val="none" w:sz="0" w:space="0" w:color="auto"/>
            <w:bottom w:val="none" w:sz="0" w:space="0" w:color="auto"/>
            <w:right w:val="none" w:sz="0" w:space="0" w:color="auto"/>
          </w:divBdr>
          <w:divsChild>
            <w:div w:id="791166556">
              <w:marLeft w:val="0"/>
              <w:marRight w:val="0"/>
              <w:marTop w:val="0"/>
              <w:marBottom w:val="0"/>
              <w:divBdr>
                <w:top w:val="none" w:sz="0" w:space="0" w:color="auto"/>
                <w:left w:val="none" w:sz="0" w:space="0" w:color="auto"/>
                <w:bottom w:val="none" w:sz="0" w:space="0" w:color="auto"/>
                <w:right w:val="none" w:sz="0" w:space="0" w:color="auto"/>
              </w:divBdr>
            </w:div>
          </w:divsChild>
        </w:div>
        <w:div w:id="507646240">
          <w:marLeft w:val="0"/>
          <w:marRight w:val="0"/>
          <w:marTop w:val="0"/>
          <w:marBottom w:val="0"/>
          <w:divBdr>
            <w:top w:val="none" w:sz="0" w:space="0" w:color="auto"/>
            <w:left w:val="none" w:sz="0" w:space="0" w:color="auto"/>
            <w:bottom w:val="none" w:sz="0" w:space="0" w:color="auto"/>
            <w:right w:val="none" w:sz="0" w:space="0" w:color="auto"/>
          </w:divBdr>
          <w:divsChild>
            <w:div w:id="616302503">
              <w:marLeft w:val="0"/>
              <w:marRight w:val="0"/>
              <w:marTop w:val="0"/>
              <w:marBottom w:val="0"/>
              <w:divBdr>
                <w:top w:val="none" w:sz="0" w:space="0" w:color="auto"/>
                <w:left w:val="none" w:sz="0" w:space="0" w:color="auto"/>
                <w:bottom w:val="none" w:sz="0" w:space="0" w:color="auto"/>
                <w:right w:val="none" w:sz="0" w:space="0" w:color="auto"/>
              </w:divBdr>
            </w:div>
          </w:divsChild>
        </w:div>
        <w:div w:id="1815177017">
          <w:marLeft w:val="0"/>
          <w:marRight w:val="0"/>
          <w:marTop w:val="0"/>
          <w:marBottom w:val="0"/>
          <w:divBdr>
            <w:top w:val="none" w:sz="0" w:space="0" w:color="auto"/>
            <w:left w:val="none" w:sz="0" w:space="0" w:color="auto"/>
            <w:bottom w:val="none" w:sz="0" w:space="0" w:color="auto"/>
            <w:right w:val="none" w:sz="0" w:space="0" w:color="auto"/>
          </w:divBdr>
          <w:divsChild>
            <w:div w:id="17049402">
              <w:marLeft w:val="0"/>
              <w:marRight w:val="0"/>
              <w:marTop w:val="0"/>
              <w:marBottom w:val="0"/>
              <w:divBdr>
                <w:top w:val="none" w:sz="0" w:space="0" w:color="auto"/>
                <w:left w:val="none" w:sz="0" w:space="0" w:color="auto"/>
                <w:bottom w:val="none" w:sz="0" w:space="0" w:color="auto"/>
                <w:right w:val="none" w:sz="0" w:space="0" w:color="auto"/>
              </w:divBdr>
            </w:div>
          </w:divsChild>
        </w:div>
        <w:div w:id="1153721938">
          <w:marLeft w:val="0"/>
          <w:marRight w:val="0"/>
          <w:marTop w:val="0"/>
          <w:marBottom w:val="0"/>
          <w:divBdr>
            <w:top w:val="none" w:sz="0" w:space="0" w:color="auto"/>
            <w:left w:val="none" w:sz="0" w:space="0" w:color="auto"/>
            <w:bottom w:val="none" w:sz="0" w:space="0" w:color="auto"/>
            <w:right w:val="none" w:sz="0" w:space="0" w:color="auto"/>
          </w:divBdr>
          <w:divsChild>
            <w:div w:id="414018129">
              <w:marLeft w:val="0"/>
              <w:marRight w:val="0"/>
              <w:marTop w:val="0"/>
              <w:marBottom w:val="0"/>
              <w:divBdr>
                <w:top w:val="none" w:sz="0" w:space="0" w:color="auto"/>
                <w:left w:val="none" w:sz="0" w:space="0" w:color="auto"/>
                <w:bottom w:val="none" w:sz="0" w:space="0" w:color="auto"/>
                <w:right w:val="none" w:sz="0" w:space="0" w:color="auto"/>
              </w:divBdr>
            </w:div>
          </w:divsChild>
        </w:div>
        <w:div w:id="274530961">
          <w:marLeft w:val="0"/>
          <w:marRight w:val="0"/>
          <w:marTop w:val="0"/>
          <w:marBottom w:val="0"/>
          <w:divBdr>
            <w:top w:val="none" w:sz="0" w:space="0" w:color="auto"/>
            <w:left w:val="none" w:sz="0" w:space="0" w:color="auto"/>
            <w:bottom w:val="none" w:sz="0" w:space="0" w:color="auto"/>
            <w:right w:val="none" w:sz="0" w:space="0" w:color="auto"/>
          </w:divBdr>
          <w:divsChild>
            <w:div w:id="228077892">
              <w:marLeft w:val="0"/>
              <w:marRight w:val="0"/>
              <w:marTop w:val="0"/>
              <w:marBottom w:val="0"/>
              <w:divBdr>
                <w:top w:val="none" w:sz="0" w:space="0" w:color="auto"/>
                <w:left w:val="none" w:sz="0" w:space="0" w:color="auto"/>
                <w:bottom w:val="none" w:sz="0" w:space="0" w:color="auto"/>
                <w:right w:val="none" w:sz="0" w:space="0" w:color="auto"/>
              </w:divBdr>
            </w:div>
          </w:divsChild>
        </w:div>
        <w:div w:id="929047274">
          <w:marLeft w:val="0"/>
          <w:marRight w:val="0"/>
          <w:marTop w:val="0"/>
          <w:marBottom w:val="0"/>
          <w:divBdr>
            <w:top w:val="none" w:sz="0" w:space="0" w:color="auto"/>
            <w:left w:val="none" w:sz="0" w:space="0" w:color="auto"/>
            <w:bottom w:val="none" w:sz="0" w:space="0" w:color="auto"/>
            <w:right w:val="none" w:sz="0" w:space="0" w:color="auto"/>
          </w:divBdr>
          <w:divsChild>
            <w:div w:id="2098089037">
              <w:marLeft w:val="0"/>
              <w:marRight w:val="0"/>
              <w:marTop w:val="0"/>
              <w:marBottom w:val="0"/>
              <w:divBdr>
                <w:top w:val="none" w:sz="0" w:space="0" w:color="auto"/>
                <w:left w:val="none" w:sz="0" w:space="0" w:color="auto"/>
                <w:bottom w:val="none" w:sz="0" w:space="0" w:color="auto"/>
                <w:right w:val="none" w:sz="0" w:space="0" w:color="auto"/>
              </w:divBdr>
            </w:div>
          </w:divsChild>
        </w:div>
        <w:div w:id="1660845427">
          <w:marLeft w:val="0"/>
          <w:marRight w:val="0"/>
          <w:marTop w:val="0"/>
          <w:marBottom w:val="0"/>
          <w:divBdr>
            <w:top w:val="none" w:sz="0" w:space="0" w:color="auto"/>
            <w:left w:val="none" w:sz="0" w:space="0" w:color="auto"/>
            <w:bottom w:val="none" w:sz="0" w:space="0" w:color="auto"/>
            <w:right w:val="none" w:sz="0" w:space="0" w:color="auto"/>
          </w:divBdr>
          <w:divsChild>
            <w:div w:id="218902954">
              <w:marLeft w:val="0"/>
              <w:marRight w:val="0"/>
              <w:marTop w:val="0"/>
              <w:marBottom w:val="0"/>
              <w:divBdr>
                <w:top w:val="none" w:sz="0" w:space="0" w:color="auto"/>
                <w:left w:val="none" w:sz="0" w:space="0" w:color="auto"/>
                <w:bottom w:val="none" w:sz="0" w:space="0" w:color="auto"/>
                <w:right w:val="none" w:sz="0" w:space="0" w:color="auto"/>
              </w:divBdr>
            </w:div>
          </w:divsChild>
        </w:div>
        <w:div w:id="128019146">
          <w:marLeft w:val="0"/>
          <w:marRight w:val="0"/>
          <w:marTop w:val="0"/>
          <w:marBottom w:val="0"/>
          <w:divBdr>
            <w:top w:val="none" w:sz="0" w:space="0" w:color="auto"/>
            <w:left w:val="none" w:sz="0" w:space="0" w:color="auto"/>
            <w:bottom w:val="none" w:sz="0" w:space="0" w:color="auto"/>
            <w:right w:val="none" w:sz="0" w:space="0" w:color="auto"/>
          </w:divBdr>
          <w:divsChild>
            <w:div w:id="1624965724">
              <w:marLeft w:val="0"/>
              <w:marRight w:val="0"/>
              <w:marTop w:val="0"/>
              <w:marBottom w:val="0"/>
              <w:divBdr>
                <w:top w:val="none" w:sz="0" w:space="0" w:color="auto"/>
                <w:left w:val="none" w:sz="0" w:space="0" w:color="auto"/>
                <w:bottom w:val="none" w:sz="0" w:space="0" w:color="auto"/>
                <w:right w:val="none" w:sz="0" w:space="0" w:color="auto"/>
              </w:divBdr>
            </w:div>
          </w:divsChild>
        </w:div>
        <w:div w:id="658384399">
          <w:marLeft w:val="0"/>
          <w:marRight w:val="0"/>
          <w:marTop w:val="0"/>
          <w:marBottom w:val="0"/>
          <w:divBdr>
            <w:top w:val="none" w:sz="0" w:space="0" w:color="auto"/>
            <w:left w:val="none" w:sz="0" w:space="0" w:color="auto"/>
            <w:bottom w:val="none" w:sz="0" w:space="0" w:color="auto"/>
            <w:right w:val="none" w:sz="0" w:space="0" w:color="auto"/>
          </w:divBdr>
          <w:divsChild>
            <w:div w:id="1797799561">
              <w:marLeft w:val="0"/>
              <w:marRight w:val="0"/>
              <w:marTop w:val="0"/>
              <w:marBottom w:val="0"/>
              <w:divBdr>
                <w:top w:val="none" w:sz="0" w:space="0" w:color="auto"/>
                <w:left w:val="none" w:sz="0" w:space="0" w:color="auto"/>
                <w:bottom w:val="none" w:sz="0" w:space="0" w:color="auto"/>
                <w:right w:val="none" w:sz="0" w:space="0" w:color="auto"/>
              </w:divBdr>
            </w:div>
          </w:divsChild>
        </w:div>
        <w:div w:id="1595016036">
          <w:marLeft w:val="0"/>
          <w:marRight w:val="0"/>
          <w:marTop w:val="0"/>
          <w:marBottom w:val="0"/>
          <w:divBdr>
            <w:top w:val="none" w:sz="0" w:space="0" w:color="auto"/>
            <w:left w:val="none" w:sz="0" w:space="0" w:color="auto"/>
            <w:bottom w:val="none" w:sz="0" w:space="0" w:color="auto"/>
            <w:right w:val="none" w:sz="0" w:space="0" w:color="auto"/>
          </w:divBdr>
          <w:divsChild>
            <w:div w:id="324478748">
              <w:marLeft w:val="0"/>
              <w:marRight w:val="0"/>
              <w:marTop w:val="0"/>
              <w:marBottom w:val="0"/>
              <w:divBdr>
                <w:top w:val="none" w:sz="0" w:space="0" w:color="auto"/>
                <w:left w:val="none" w:sz="0" w:space="0" w:color="auto"/>
                <w:bottom w:val="none" w:sz="0" w:space="0" w:color="auto"/>
                <w:right w:val="none" w:sz="0" w:space="0" w:color="auto"/>
              </w:divBdr>
            </w:div>
          </w:divsChild>
        </w:div>
        <w:div w:id="638190247">
          <w:marLeft w:val="0"/>
          <w:marRight w:val="0"/>
          <w:marTop w:val="0"/>
          <w:marBottom w:val="0"/>
          <w:divBdr>
            <w:top w:val="none" w:sz="0" w:space="0" w:color="auto"/>
            <w:left w:val="none" w:sz="0" w:space="0" w:color="auto"/>
            <w:bottom w:val="none" w:sz="0" w:space="0" w:color="auto"/>
            <w:right w:val="none" w:sz="0" w:space="0" w:color="auto"/>
          </w:divBdr>
          <w:divsChild>
            <w:div w:id="785270990">
              <w:marLeft w:val="0"/>
              <w:marRight w:val="0"/>
              <w:marTop w:val="0"/>
              <w:marBottom w:val="0"/>
              <w:divBdr>
                <w:top w:val="none" w:sz="0" w:space="0" w:color="auto"/>
                <w:left w:val="none" w:sz="0" w:space="0" w:color="auto"/>
                <w:bottom w:val="none" w:sz="0" w:space="0" w:color="auto"/>
                <w:right w:val="none" w:sz="0" w:space="0" w:color="auto"/>
              </w:divBdr>
            </w:div>
          </w:divsChild>
        </w:div>
        <w:div w:id="1116559778">
          <w:marLeft w:val="0"/>
          <w:marRight w:val="0"/>
          <w:marTop w:val="0"/>
          <w:marBottom w:val="0"/>
          <w:divBdr>
            <w:top w:val="none" w:sz="0" w:space="0" w:color="auto"/>
            <w:left w:val="none" w:sz="0" w:space="0" w:color="auto"/>
            <w:bottom w:val="none" w:sz="0" w:space="0" w:color="auto"/>
            <w:right w:val="none" w:sz="0" w:space="0" w:color="auto"/>
          </w:divBdr>
          <w:divsChild>
            <w:div w:id="1031340074">
              <w:marLeft w:val="0"/>
              <w:marRight w:val="0"/>
              <w:marTop w:val="0"/>
              <w:marBottom w:val="0"/>
              <w:divBdr>
                <w:top w:val="none" w:sz="0" w:space="0" w:color="auto"/>
                <w:left w:val="none" w:sz="0" w:space="0" w:color="auto"/>
                <w:bottom w:val="none" w:sz="0" w:space="0" w:color="auto"/>
                <w:right w:val="none" w:sz="0" w:space="0" w:color="auto"/>
              </w:divBdr>
            </w:div>
          </w:divsChild>
        </w:div>
        <w:div w:id="1535001808">
          <w:marLeft w:val="0"/>
          <w:marRight w:val="0"/>
          <w:marTop w:val="0"/>
          <w:marBottom w:val="0"/>
          <w:divBdr>
            <w:top w:val="none" w:sz="0" w:space="0" w:color="auto"/>
            <w:left w:val="none" w:sz="0" w:space="0" w:color="auto"/>
            <w:bottom w:val="none" w:sz="0" w:space="0" w:color="auto"/>
            <w:right w:val="none" w:sz="0" w:space="0" w:color="auto"/>
          </w:divBdr>
          <w:divsChild>
            <w:div w:id="1183741746">
              <w:marLeft w:val="0"/>
              <w:marRight w:val="0"/>
              <w:marTop w:val="0"/>
              <w:marBottom w:val="0"/>
              <w:divBdr>
                <w:top w:val="none" w:sz="0" w:space="0" w:color="auto"/>
                <w:left w:val="none" w:sz="0" w:space="0" w:color="auto"/>
                <w:bottom w:val="none" w:sz="0" w:space="0" w:color="auto"/>
                <w:right w:val="none" w:sz="0" w:space="0" w:color="auto"/>
              </w:divBdr>
            </w:div>
          </w:divsChild>
        </w:div>
        <w:div w:id="402262685">
          <w:marLeft w:val="0"/>
          <w:marRight w:val="0"/>
          <w:marTop w:val="0"/>
          <w:marBottom w:val="0"/>
          <w:divBdr>
            <w:top w:val="none" w:sz="0" w:space="0" w:color="auto"/>
            <w:left w:val="none" w:sz="0" w:space="0" w:color="auto"/>
            <w:bottom w:val="none" w:sz="0" w:space="0" w:color="auto"/>
            <w:right w:val="none" w:sz="0" w:space="0" w:color="auto"/>
          </w:divBdr>
          <w:divsChild>
            <w:div w:id="1828746362">
              <w:marLeft w:val="0"/>
              <w:marRight w:val="0"/>
              <w:marTop w:val="0"/>
              <w:marBottom w:val="0"/>
              <w:divBdr>
                <w:top w:val="none" w:sz="0" w:space="0" w:color="auto"/>
                <w:left w:val="none" w:sz="0" w:space="0" w:color="auto"/>
                <w:bottom w:val="none" w:sz="0" w:space="0" w:color="auto"/>
                <w:right w:val="none" w:sz="0" w:space="0" w:color="auto"/>
              </w:divBdr>
            </w:div>
          </w:divsChild>
        </w:div>
        <w:div w:id="1038359701">
          <w:marLeft w:val="0"/>
          <w:marRight w:val="0"/>
          <w:marTop w:val="0"/>
          <w:marBottom w:val="0"/>
          <w:divBdr>
            <w:top w:val="none" w:sz="0" w:space="0" w:color="auto"/>
            <w:left w:val="none" w:sz="0" w:space="0" w:color="auto"/>
            <w:bottom w:val="none" w:sz="0" w:space="0" w:color="auto"/>
            <w:right w:val="none" w:sz="0" w:space="0" w:color="auto"/>
          </w:divBdr>
          <w:divsChild>
            <w:div w:id="704019580">
              <w:marLeft w:val="0"/>
              <w:marRight w:val="0"/>
              <w:marTop w:val="0"/>
              <w:marBottom w:val="0"/>
              <w:divBdr>
                <w:top w:val="none" w:sz="0" w:space="0" w:color="auto"/>
                <w:left w:val="none" w:sz="0" w:space="0" w:color="auto"/>
                <w:bottom w:val="none" w:sz="0" w:space="0" w:color="auto"/>
                <w:right w:val="none" w:sz="0" w:space="0" w:color="auto"/>
              </w:divBdr>
            </w:div>
          </w:divsChild>
        </w:div>
        <w:div w:id="121657477">
          <w:marLeft w:val="0"/>
          <w:marRight w:val="0"/>
          <w:marTop w:val="0"/>
          <w:marBottom w:val="0"/>
          <w:divBdr>
            <w:top w:val="none" w:sz="0" w:space="0" w:color="auto"/>
            <w:left w:val="none" w:sz="0" w:space="0" w:color="auto"/>
            <w:bottom w:val="none" w:sz="0" w:space="0" w:color="auto"/>
            <w:right w:val="none" w:sz="0" w:space="0" w:color="auto"/>
          </w:divBdr>
          <w:divsChild>
            <w:div w:id="102307865">
              <w:marLeft w:val="0"/>
              <w:marRight w:val="0"/>
              <w:marTop w:val="0"/>
              <w:marBottom w:val="0"/>
              <w:divBdr>
                <w:top w:val="none" w:sz="0" w:space="0" w:color="auto"/>
                <w:left w:val="none" w:sz="0" w:space="0" w:color="auto"/>
                <w:bottom w:val="none" w:sz="0" w:space="0" w:color="auto"/>
                <w:right w:val="none" w:sz="0" w:space="0" w:color="auto"/>
              </w:divBdr>
            </w:div>
          </w:divsChild>
        </w:div>
        <w:div w:id="1743136105">
          <w:marLeft w:val="0"/>
          <w:marRight w:val="0"/>
          <w:marTop w:val="0"/>
          <w:marBottom w:val="0"/>
          <w:divBdr>
            <w:top w:val="none" w:sz="0" w:space="0" w:color="auto"/>
            <w:left w:val="none" w:sz="0" w:space="0" w:color="auto"/>
            <w:bottom w:val="none" w:sz="0" w:space="0" w:color="auto"/>
            <w:right w:val="none" w:sz="0" w:space="0" w:color="auto"/>
          </w:divBdr>
          <w:divsChild>
            <w:div w:id="271477513">
              <w:marLeft w:val="0"/>
              <w:marRight w:val="0"/>
              <w:marTop w:val="0"/>
              <w:marBottom w:val="0"/>
              <w:divBdr>
                <w:top w:val="none" w:sz="0" w:space="0" w:color="auto"/>
                <w:left w:val="none" w:sz="0" w:space="0" w:color="auto"/>
                <w:bottom w:val="none" w:sz="0" w:space="0" w:color="auto"/>
                <w:right w:val="none" w:sz="0" w:space="0" w:color="auto"/>
              </w:divBdr>
            </w:div>
          </w:divsChild>
        </w:div>
        <w:div w:id="1301032751">
          <w:marLeft w:val="0"/>
          <w:marRight w:val="0"/>
          <w:marTop w:val="0"/>
          <w:marBottom w:val="0"/>
          <w:divBdr>
            <w:top w:val="none" w:sz="0" w:space="0" w:color="auto"/>
            <w:left w:val="none" w:sz="0" w:space="0" w:color="auto"/>
            <w:bottom w:val="none" w:sz="0" w:space="0" w:color="auto"/>
            <w:right w:val="none" w:sz="0" w:space="0" w:color="auto"/>
          </w:divBdr>
          <w:divsChild>
            <w:div w:id="1310094560">
              <w:marLeft w:val="0"/>
              <w:marRight w:val="0"/>
              <w:marTop w:val="0"/>
              <w:marBottom w:val="0"/>
              <w:divBdr>
                <w:top w:val="none" w:sz="0" w:space="0" w:color="auto"/>
                <w:left w:val="none" w:sz="0" w:space="0" w:color="auto"/>
                <w:bottom w:val="none" w:sz="0" w:space="0" w:color="auto"/>
                <w:right w:val="none" w:sz="0" w:space="0" w:color="auto"/>
              </w:divBdr>
            </w:div>
          </w:divsChild>
        </w:div>
        <w:div w:id="813989567">
          <w:marLeft w:val="0"/>
          <w:marRight w:val="0"/>
          <w:marTop w:val="0"/>
          <w:marBottom w:val="0"/>
          <w:divBdr>
            <w:top w:val="none" w:sz="0" w:space="0" w:color="auto"/>
            <w:left w:val="none" w:sz="0" w:space="0" w:color="auto"/>
            <w:bottom w:val="none" w:sz="0" w:space="0" w:color="auto"/>
            <w:right w:val="none" w:sz="0" w:space="0" w:color="auto"/>
          </w:divBdr>
          <w:divsChild>
            <w:div w:id="697389890">
              <w:marLeft w:val="0"/>
              <w:marRight w:val="0"/>
              <w:marTop w:val="0"/>
              <w:marBottom w:val="0"/>
              <w:divBdr>
                <w:top w:val="none" w:sz="0" w:space="0" w:color="auto"/>
                <w:left w:val="none" w:sz="0" w:space="0" w:color="auto"/>
                <w:bottom w:val="none" w:sz="0" w:space="0" w:color="auto"/>
                <w:right w:val="none" w:sz="0" w:space="0" w:color="auto"/>
              </w:divBdr>
            </w:div>
          </w:divsChild>
        </w:div>
        <w:div w:id="249975161">
          <w:marLeft w:val="0"/>
          <w:marRight w:val="0"/>
          <w:marTop w:val="0"/>
          <w:marBottom w:val="0"/>
          <w:divBdr>
            <w:top w:val="none" w:sz="0" w:space="0" w:color="auto"/>
            <w:left w:val="none" w:sz="0" w:space="0" w:color="auto"/>
            <w:bottom w:val="none" w:sz="0" w:space="0" w:color="auto"/>
            <w:right w:val="none" w:sz="0" w:space="0" w:color="auto"/>
          </w:divBdr>
          <w:divsChild>
            <w:div w:id="150487452">
              <w:marLeft w:val="0"/>
              <w:marRight w:val="0"/>
              <w:marTop w:val="0"/>
              <w:marBottom w:val="0"/>
              <w:divBdr>
                <w:top w:val="none" w:sz="0" w:space="0" w:color="auto"/>
                <w:left w:val="none" w:sz="0" w:space="0" w:color="auto"/>
                <w:bottom w:val="none" w:sz="0" w:space="0" w:color="auto"/>
                <w:right w:val="none" w:sz="0" w:space="0" w:color="auto"/>
              </w:divBdr>
            </w:div>
          </w:divsChild>
        </w:div>
        <w:div w:id="590092977">
          <w:marLeft w:val="0"/>
          <w:marRight w:val="0"/>
          <w:marTop w:val="0"/>
          <w:marBottom w:val="0"/>
          <w:divBdr>
            <w:top w:val="none" w:sz="0" w:space="0" w:color="auto"/>
            <w:left w:val="none" w:sz="0" w:space="0" w:color="auto"/>
            <w:bottom w:val="none" w:sz="0" w:space="0" w:color="auto"/>
            <w:right w:val="none" w:sz="0" w:space="0" w:color="auto"/>
          </w:divBdr>
          <w:divsChild>
            <w:div w:id="561526158">
              <w:marLeft w:val="0"/>
              <w:marRight w:val="0"/>
              <w:marTop w:val="0"/>
              <w:marBottom w:val="0"/>
              <w:divBdr>
                <w:top w:val="none" w:sz="0" w:space="0" w:color="auto"/>
                <w:left w:val="none" w:sz="0" w:space="0" w:color="auto"/>
                <w:bottom w:val="none" w:sz="0" w:space="0" w:color="auto"/>
                <w:right w:val="none" w:sz="0" w:space="0" w:color="auto"/>
              </w:divBdr>
            </w:div>
          </w:divsChild>
        </w:div>
        <w:div w:id="2063095454">
          <w:marLeft w:val="0"/>
          <w:marRight w:val="0"/>
          <w:marTop w:val="0"/>
          <w:marBottom w:val="0"/>
          <w:divBdr>
            <w:top w:val="none" w:sz="0" w:space="0" w:color="auto"/>
            <w:left w:val="none" w:sz="0" w:space="0" w:color="auto"/>
            <w:bottom w:val="none" w:sz="0" w:space="0" w:color="auto"/>
            <w:right w:val="none" w:sz="0" w:space="0" w:color="auto"/>
          </w:divBdr>
          <w:divsChild>
            <w:div w:id="2113161121">
              <w:marLeft w:val="0"/>
              <w:marRight w:val="0"/>
              <w:marTop w:val="0"/>
              <w:marBottom w:val="0"/>
              <w:divBdr>
                <w:top w:val="none" w:sz="0" w:space="0" w:color="auto"/>
                <w:left w:val="none" w:sz="0" w:space="0" w:color="auto"/>
                <w:bottom w:val="none" w:sz="0" w:space="0" w:color="auto"/>
                <w:right w:val="none" w:sz="0" w:space="0" w:color="auto"/>
              </w:divBdr>
            </w:div>
          </w:divsChild>
        </w:div>
        <w:div w:id="704603408">
          <w:marLeft w:val="0"/>
          <w:marRight w:val="0"/>
          <w:marTop w:val="0"/>
          <w:marBottom w:val="0"/>
          <w:divBdr>
            <w:top w:val="none" w:sz="0" w:space="0" w:color="auto"/>
            <w:left w:val="none" w:sz="0" w:space="0" w:color="auto"/>
            <w:bottom w:val="none" w:sz="0" w:space="0" w:color="auto"/>
            <w:right w:val="none" w:sz="0" w:space="0" w:color="auto"/>
          </w:divBdr>
          <w:divsChild>
            <w:div w:id="94442834">
              <w:marLeft w:val="0"/>
              <w:marRight w:val="0"/>
              <w:marTop w:val="0"/>
              <w:marBottom w:val="0"/>
              <w:divBdr>
                <w:top w:val="none" w:sz="0" w:space="0" w:color="auto"/>
                <w:left w:val="none" w:sz="0" w:space="0" w:color="auto"/>
                <w:bottom w:val="none" w:sz="0" w:space="0" w:color="auto"/>
                <w:right w:val="none" w:sz="0" w:space="0" w:color="auto"/>
              </w:divBdr>
              <w:divsChild>
                <w:div w:id="208148298">
                  <w:marLeft w:val="0"/>
                  <w:marRight w:val="0"/>
                  <w:marTop w:val="0"/>
                  <w:marBottom w:val="0"/>
                  <w:divBdr>
                    <w:top w:val="none" w:sz="0" w:space="0" w:color="auto"/>
                    <w:left w:val="none" w:sz="0" w:space="0" w:color="auto"/>
                    <w:bottom w:val="none" w:sz="0" w:space="0" w:color="auto"/>
                    <w:right w:val="none" w:sz="0" w:space="0" w:color="auto"/>
                  </w:divBdr>
                </w:div>
                <w:div w:id="2042390274">
                  <w:marLeft w:val="0"/>
                  <w:marRight w:val="0"/>
                  <w:marTop w:val="0"/>
                  <w:marBottom w:val="0"/>
                  <w:divBdr>
                    <w:top w:val="none" w:sz="0" w:space="0" w:color="auto"/>
                    <w:left w:val="none" w:sz="0" w:space="0" w:color="auto"/>
                    <w:bottom w:val="none" w:sz="0" w:space="0" w:color="auto"/>
                    <w:right w:val="none" w:sz="0" w:space="0" w:color="auto"/>
                  </w:divBdr>
                </w:div>
                <w:div w:id="1524173969">
                  <w:marLeft w:val="0"/>
                  <w:marRight w:val="0"/>
                  <w:marTop w:val="0"/>
                  <w:marBottom w:val="0"/>
                  <w:divBdr>
                    <w:top w:val="none" w:sz="0" w:space="0" w:color="auto"/>
                    <w:left w:val="none" w:sz="0" w:space="0" w:color="auto"/>
                    <w:bottom w:val="none" w:sz="0" w:space="0" w:color="auto"/>
                    <w:right w:val="none" w:sz="0" w:space="0" w:color="auto"/>
                  </w:divBdr>
                </w:div>
                <w:div w:id="876964131">
                  <w:marLeft w:val="0"/>
                  <w:marRight w:val="0"/>
                  <w:marTop w:val="0"/>
                  <w:marBottom w:val="0"/>
                  <w:divBdr>
                    <w:top w:val="none" w:sz="0" w:space="0" w:color="auto"/>
                    <w:left w:val="none" w:sz="0" w:space="0" w:color="auto"/>
                    <w:bottom w:val="none" w:sz="0" w:space="0" w:color="auto"/>
                    <w:right w:val="none" w:sz="0" w:space="0" w:color="auto"/>
                  </w:divBdr>
                </w:div>
                <w:div w:id="2052221272">
                  <w:marLeft w:val="0"/>
                  <w:marRight w:val="0"/>
                  <w:marTop w:val="0"/>
                  <w:marBottom w:val="0"/>
                  <w:divBdr>
                    <w:top w:val="none" w:sz="0" w:space="0" w:color="auto"/>
                    <w:left w:val="none" w:sz="0" w:space="0" w:color="auto"/>
                    <w:bottom w:val="none" w:sz="0" w:space="0" w:color="auto"/>
                    <w:right w:val="none" w:sz="0" w:space="0" w:color="auto"/>
                  </w:divBdr>
                </w:div>
                <w:div w:id="1894344640">
                  <w:marLeft w:val="0"/>
                  <w:marRight w:val="0"/>
                  <w:marTop w:val="0"/>
                  <w:marBottom w:val="0"/>
                  <w:divBdr>
                    <w:top w:val="none" w:sz="0" w:space="0" w:color="auto"/>
                    <w:left w:val="none" w:sz="0" w:space="0" w:color="auto"/>
                    <w:bottom w:val="none" w:sz="0" w:space="0" w:color="auto"/>
                    <w:right w:val="none" w:sz="0" w:space="0" w:color="auto"/>
                  </w:divBdr>
                </w:div>
                <w:div w:id="1164853206">
                  <w:marLeft w:val="0"/>
                  <w:marRight w:val="0"/>
                  <w:marTop w:val="0"/>
                  <w:marBottom w:val="0"/>
                  <w:divBdr>
                    <w:top w:val="none" w:sz="0" w:space="0" w:color="auto"/>
                    <w:left w:val="none" w:sz="0" w:space="0" w:color="auto"/>
                    <w:bottom w:val="none" w:sz="0" w:space="0" w:color="auto"/>
                    <w:right w:val="none" w:sz="0" w:space="0" w:color="auto"/>
                  </w:divBdr>
                </w:div>
                <w:div w:id="354620359">
                  <w:marLeft w:val="0"/>
                  <w:marRight w:val="0"/>
                  <w:marTop w:val="0"/>
                  <w:marBottom w:val="0"/>
                  <w:divBdr>
                    <w:top w:val="none" w:sz="0" w:space="0" w:color="auto"/>
                    <w:left w:val="none" w:sz="0" w:space="0" w:color="auto"/>
                    <w:bottom w:val="none" w:sz="0" w:space="0" w:color="auto"/>
                    <w:right w:val="none" w:sz="0" w:space="0" w:color="auto"/>
                  </w:divBdr>
                </w:div>
                <w:div w:id="1142188052">
                  <w:marLeft w:val="0"/>
                  <w:marRight w:val="0"/>
                  <w:marTop w:val="0"/>
                  <w:marBottom w:val="0"/>
                  <w:divBdr>
                    <w:top w:val="none" w:sz="0" w:space="0" w:color="auto"/>
                    <w:left w:val="none" w:sz="0" w:space="0" w:color="auto"/>
                    <w:bottom w:val="none" w:sz="0" w:space="0" w:color="auto"/>
                    <w:right w:val="none" w:sz="0" w:space="0" w:color="auto"/>
                  </w:divBdr>
                </w:div>
                <w:div w:id="1970088152">
                  <w:marLeft w:val="0"/>
                  <w:marRight w:val="0"/>
                  <w:marTop w:val="0"/>
                  <w:marBottom w:val="0"/>
                  <w:divBdr>
                    <w:top w:val="none" w:sz="0" w:space="0" w:color="auto"/>
                    <w:left w:val="none" w:sz="0" w:space="0" w:color="auto"/>
                    <w:bottom w:val="none" w:sz="0" w:space="0" w:color="auto"/>
                    <w:right w:val="none" w:sz="0" w:space="0" w:color="auto"/>
                  </w:divBdr>
                </w:div>
                <w:div w:id="225334608">
                  <w:marLeft w:val="0"/>
                  <w:marRight w:val="0"/>
                  <w:marTop w:val="0"/>
                  <w:marBottom w:val="0"/>
                  <w:divBdr>
                    <w:top w:val="none" w:sz="0" w:space="0" w:color="auto"/>
                    <w:left w:val="none" w:sz="0" w:space="0" w:color="auto"/>
                    <w:bottom w:val="none" w:sz="0" w:space="0" w:color="auto"/>
                    <w:right w:val="none" w:sz="0" w:space="0" w:color="auto"/>
                  </w:divBdr>
                </w:div>
                <w:div w:id="86931420">
                  <w:marLeft w:val="0"/>
                  <w:marRight w:val="0"/>
                  <w:marTop w:val="0"/>
                  <w:marBottom w:val="0"/>
                  <w:divBdr>
                    <w:top w:val="none" w:sz="0" w:space="0" w:color="auto"/>
                    <w:left w:val="none" w:sz="0" w:space="0" w:color="auto"/>
                    <w:bottom w:val="none" w:sz="0" w:space="0" w:color="auto"/>
                    <w:right w:val="none" w:sz="0" w:space="0" w:color="auto"/>
                  </w:divBdr>
                </w:div>
                <w:div w:id="1632632956">
                  <w:marLeft w:val="0"/>
                  <w:marRight w:val="0"/>
                  <w:marTop w:val="0"/>
                  <w:marBottom w:val="0"/>
                  <w:divBdr>
                    <w:top w:val="none" w:sz="0" w:space="0" w:color="auto"/>
                    <w:left w:val="none" w:sz="0" w:space="0" w:color="auto"/>
                    <w:bottom w:val="none" w:sz="0" w:space="0" w:color="auto"/>
                    <w:right w:val="none" w:sz="0" w:space="0" w:color="auto"/>
                  </w:divBdr>
                </w:div>
                <w:div w:id="330106990">
                  <w:marLeft w:val="0"/>
                  <w:marRight w:val="0"/>
                  <w:marTop w:val="0"/>
                  <w:marBottom w:val="0"/>
                  <w:divBdr>
                    <w:top w:val="none" w:sz="0" w:space="0" w:color="auto"/>
                    <w:left w:val="none" w:sz="0" w:space="0" w:color="auto"/>
                    <w:bottom w:val="none" w:sz="0" w:space="0" w:color="auto"/>
                    <w:right w:val="none" w:sz="0" w:space="0" w:color="auto"/>
                  </w:divBdr>
                </w:div>
                <w:div w:id="2086494346">
                  <w:marLeft w:val="0"/>
                  <w:marRight w:val="0"/>
                  <w:marTop w:val="0"/>
                  <w:marBottom w:val="0"/>
                  <w:divBdr>
                    <w:top w:val="none" w:sz="0" w:space="0" w:color="auto"/>
                    <w:left w:val="none" w:sz="0" w:space="0" w:color="auto"/>
                    <w:bottom w:val="none" w:sz="0" w:space="0" w:color="auto"/>
                    <w:right w:val="none" w:sz="0" w:space="0" w:color="auto"/>
                  </w:divBdr>
                </w:div>
                <w:div w:id="1147286348">
                  <w:marLeft w:val="0"/>
                  <w:marRight w:val="0"/>
                  <w:marTop w:val="0"/>
                  <w:marBottom w:val="0"/>
                  <w:divBdr>
                    <w:top w:val="none" w:sz="0" w:space="0" w:color="auto"/>
                    <w:left w:val="none" w:sz="0" w:space="0" w:color="auto"/>
                    <w:bottom w:val="none" w:sz="0" w:space="0" w:color="auto"/>
                    <w:right w:val="none" w:sz="0" w:space="0" w:color="auto"/>
                  </w:divBdr>
                </w:div>
                <w:div w:id="23487792">
                  <w:marLeft w:val="0"/>
                  <w:marRight w:val="0"/>
                  <w:marTop w:val="0"/>
                  <w:marBottom w:val="0"/>
                  <w:divBdr>
                    <w:top w:val="none" w:sz="0" w:space="0" w:color="auto"/>
                    <w:left w:val="none" w:sz="0" w:space="0" w:color="auto"/>
                    <w:bottom w:val="none" w:sz="0" w:space="0" w:color="auto"/>
                    <w:right w:val="none" w:sz="0" w:space="0" w:color="auto"/>
                  </w:divBdr>
                </w:div>
                <w:div w:id="312029221">
                  <w:marLeft w:val="0"/>
                  <w:marRight w:val="0"/>
                  <w:marTop w:val="0"/>
                  <w:marBottom w:val="0"/>
                  <w:divBdr>
                    <w:top w:val="none" w:sz="0" w:space="0" w:color="auto"/>
                    <w:left w:val="none" w:sz="0" w:space="0" w:color="auto"/>
                    <w:bottom w:val="none" w:sz="0" w:space="0" w:color="auto"/>
                    <w:right w:val="none" w:sz="0" w:space="0" w:color="auto"/>
                  </w:divBdr>
                </w:div>
                <w:div w:id="571162479">
                  <w:marLeft w:val="0"/>
                  <w:marRight w:val="0"/>
                  <w:marTop w:val="0"/>
                  <w:marBottom w:val="0"/>
                  <w:divBdr>
                    <w:top w:val="none" w:sz="0" w:space="0" w:color="auto"/>
                    <w:left w:val="none" w:sz="0" w:space="0" w:color="auto"/>
                    <w:bottom w:val="none" w:sz="0" w:space="0" w:color="auto"/>
                    <w:right w:val="none" w:sz="0" w:space="0" w:color="auto"/>
                  </w:divBdr>
                </w:div>
                <w:div w:id="274597981">
                  <w:marLeft w:val="0"/>
                  <w:marRight w:val="0"/>
                  <w:marTop w:val="0"/>
                  <w:marBottom w:val="0"/>
                  <w:divBdr>
                    <w:top w:val="none" w:sz="0" w:space="0" w:color="auto"/>
                    <w:left w:val="none" w:sz="0" w:space="0" w:color="auto"/>
                    <w:bottom w:val="none" w:sz="0" w:space="0" w:color="auto"/>
                    <w:right w:val="none" w:sz="0" w:space="0" w:color="auto"/>
                  </w:divBdr>
                </w:div>
                <w:div w:id="1633364003">
                  <w:marLeft w:val="0"/>
                  <w:marRight w:val="0"/>
                  <w:marTop w:val="0"/>
                  <w:marBottom w:val="0"/>
                  <w:divBdr>
                    <w:top w:val="none" w:sz="0" w:space="0" w:color="auto"/>
                    <w:left w:val="none" w:sz="0" w:space="0" w:color="auto"/>
                    <w:bottom w:val="none" w:sz="0" w:space="0" w:color="auto"/>
                    <w:right w:val="none" w:sz="0" w:space="0" w:color="auto"/>
                  </w:divBdr>
                </w:div>
                <w:div w:id="1827477272">
                  <w:marLeft w:val="0"/>
                  <w:marRight w:val="0"/>
                  <w:marTop w:val="0"/>
                  <w:marBottom w:val="0"/>
                  <w:divBdr>
                    <w:top w:val="none" w:sz="0" w:space="0" w:color="auto"/>
                    <w:left w:val="none" w:sz="0" w:space="0" w:color="auto"/>
                    <w:bottom w:val="none" w:sz="0" w:space="0" w:color="auto"/>
                    <w:right w:val="none" w:sz="0" w:space="0" w:color="auto"/>
                  </w:divBdr>
                </w:div>
                <w:div w:id="1991248824">
                  <w:marLeft w:val="0"/>
                  <w:marRight w:val="0"/>
                  <w:marTop w:val="0"/>
                  <w:marBottom w:val="0"/>
                  <w:divBdr>
                    <w:top w:val="none" w:sz="0" w:space="0" w:color="auto"/>
                    <w:left w:val="none" w:sz="0" w:space="0" w:color="auto"/>
                    <w:bottom w:val="none" w:sz="0" w:space="0" w:color="auto"/>
                    <w:right w:val="none" w:sz="0" w:space="0" w:color="auto"/>
                  </w:divBdr>
                </w:div>
              </w:divsChild>
            </w:div>
            <w:div w:id="25833600">
              <w:marLeft w:val="0"/>
              <w:marRight w:val="0"/>
              <w:marTop w:val="0"/>
              <w:marBottom w:val="0"/>
              <w:divBdr>
                <w:top w:val="none" w:sz="0" w:space="0" w:color="auto"/>
                <w:left w:val="none" w:sz="0" w:space="0" w:color="auto"/>
                <w:bottom w:val="none" w:sz="0" w:space="0" w:color="auto"/>
                <w:right w:val="none" w:sz="0" w:space="0" w:color="auto"/>
              </w:divBdr>
            </w:div>
          </w:divsChild>
        </w:div>
        <w:div w:id="1276404408">
          <w:marLeft w:val="0"/>
          <w:marRight w:val="0"/>
          <w:marTop w:val="0"/>
          <w:marBottom w:val="0"/>
          <w:divBdr>
            <w:top w:val="none" w:sz="0" w:space="0" w:color="auto"/>
            <w:left w:val="none" w:sz="0" w:space="0" w:color="auto"/>
            <w:bottom w:val="none" w:sz="0" w:space="0" w:color="auto"/>
            <w:right w:val="none" w:sz="0" w:space="0" w:color="auto"/>
          </w:divBdr>
          <w:divsChild>
            <w:div w:id="1067998336">
              <w:marLeft w:val="0"/>
              <w:marRight w:val="0"/>
              <w:marTop w:val="0"/>
              <w:marBottom w:val="0"/>
              <w:divBdr>
                <w:top w:val="none" w:sz="0" w:space="0" w:color="auto"/>
                <w:left w:val="none" w:sz="0" w:space="0" w:color="auto"/>
                <w:bottom w:val="none" w:sz="0" w:space="0" w:color="auto"/>
                <w:right w:val="none" w:sz="0" w:space="0" w:color="auto"/>
              </w:divBdr>
            </w:div>
          </w:divsChild>
        </w:div>
        <w:div w:id="1055196528">
          <w:marLeft w:val="0"/>
          <w:marRight w:val="0"/>
          <w:marTop w:val="0"/>
          <w:marBottom w:val="0"/>
          <w:divBdr>
            <w:top w:val="none" w:sz="0" w:space="0" w:color="auto"/>
            <w:left w:val="none" w:sz="0" w:space="0" w:color="auto"/>
            <w:bottom w:val="none" w:sz="0" w:space="0" w:color="auto"/>
            <w:right w:val="none" w:sz="0" w:space="0" w:color="auto"/>
          </w:divBdr>
          <w:divsChild>
            <w:div w:id="1238440146">
              <w:marLeft w:val="0"/>
              <w:marRight w:val="0"/>
              <w:marTop w:val="0"/>
              <w:marBottom w:val="0"/>
              <w:divBdr>
                <w:top w:val="none" w:sz="0" w:space="0" w:color="auto"/>
                <w:left w:val="none" w:sz="0" w:space="0" w:color="auto"/>
                <w:bottom w:val="none" w:sz="0" w:space="0" w:color="auto"/>
                <w:right w:val="none" w:sz="0" w:space="0" w:color="auto"/>
              </w:divBdr>
            </w:div>
          </w:divsChild>
        </w:div>
        <w:div w:id="986469893">
          <w:marLeft w:val="0"/>
          <w:marRight w:val="0"/>
          <w:marTop w:val="0"/>
          <w:marBottom w:val="0"/>
          <w:divBdr>
            <w:top w:val="none" w:sz="0" w:space="0" w:color="auto"/>
            <w:left w:val="none" w:sz="0" w:space="0" w:color="auto"/>
            <w:bottom w:val="none" w:sz="0" w:space="0" w:color="auto"/>
            <w:right w:val="none" w:sz="0" w:space="0" w:color="auto"/>
          </w:divBdr>
          <w:divsChild>
            <w:div w:id="576129330">
              <w:marLeft w:val="0"/>
              <w:marRight w:val="0"/>
              <w:marTop w:val="0"/>
              <w:marBottom w:val="0"/>
              <w:divBdr>
                <w:top w:val="none" w:sz="0" w:space="0" w:color="auto"/>
                <w:left w:val="none" w:sz="0" w:space="0" w:color="auto"/>
                <w:bottom w:val="none" w:sz="0" w:space="0" w:color="auto"/>
                <w:right w:val="none" w:sz="0" w:space="0" w:color="auto"/>
              </w:divBdr>
            </w:div>
          </w:divsChild>
        </w:div>
        <w:div w:id="1008867681">
          <w:marLeft w:val="0"/>
          <w:marRight w:val="0"/>
          <w:marTop w:val="0"/>
          <w:marBottom w:val="0"/>
          <w:divBdr>
            <w:top w:val="none" w:sz="0" w:space="0" w:color="auto"/>
            <w:left w:val="none" w:sz="0" w:space="0" w:color="auto"/>
            <w:bottom w:val="none" w:sz="0" w:space="0" w:color="auto"/>
            <w:right w:val="none" w:sz="0" w:space="0" w:color="auto"/>
          </w:divBdr>
          <w:divsChild>
            <w:div w:id="696396254">
              <w:marLeft w:val="0"/>
              <w:marRight w:val="0"/>
              <w:marTop w:val="0"/>
              <w:marBottom w:val="0"/>
              <w:divBdr>
                <w:top w:val="none" w:sz="0" w:space="0" w:color="auto"/>
                <w:left w:val="none" w:sz="0" w:space="0" w:color="auto"/>
                <w:bottom w:val="none" w:sz="0" w:space="0" w:color="auto"/>
                <w:right w:val="none" w:sz="0" w:space="0" w:color="auto"/>
              </w:divBdr>
            </w:div>
          </w:divsChild>
        </w:div>
        <w:div w:id="1999263136">
          <w:marLeft w:val="0"/>
          <w:marRight w:val="0"/>
          <w:marTop w:val="0"/>
          <w:marBottom w:val="0"/>
          <w:divBdr>
            <w:top w:val="none" w:sz="0" w:space="0" w:color="auto"/>
            <w:left w:val="none" w:sz="0" w:space="0" w:color="auto"/>
            <w:bottom w:val="none" w:sz="0" w:space="0" w:color="auto"/>
            <w:right w:val="none" w:sz="0" w:space="0" w:color="auto"/>
          </w:divBdr>
          <w:divsChild>
            <w:div w:id="511913743">
              <w:marLeft w:val="0"/>
              <w:marRight w:val="0"/>
              <w:marTop w:val="0"/>
              <w:marBottom w:val="0"/>
              <w:divBdr>
                <w:top w:val="none" w:sz="0" w:space="0" w:color="auto"/>
                <w:left w:val="none" w:sz="0" w:space="0" w:color="auto"/>
                <w:bottom w:val="none" w:sz="0" w:space="0" w:color="auto"/>
                <w:right w:val="none" w:sz="0" w:space="0" w:color="auto"/>
              </w:divBdr>
            </w:div>
          </w:divsChild>
        </w:div>
        <w:div w:id="1882665564">
          <w:marLeft w:val="0"/>
          <w:marRight w:val="0"/>
          <w:marTop w:val="0"/>
          <w:marBottom w:val="0"/>
          <w:divBdr>
            <w:top w:val="none" w:sz="0" w:space="0" w:color="auto"/>
            <w:left w:val="none" w:sz="0" w:space="0" w:color="auto"/>
            <w:bottom w:val="none" w:sz="0" w:space="0" w:color="auto"/>
            <w:right w:val="none" w:sz="0" w:space="0" w:color="auto"/>
          </w:divBdr>
          <w:divsChild>
            <w:div w:id="90471782">
              <w:marLeft w:val="0"/>
              <w:marRight w:val="0"/>
              <w:marTop w:val="0"/>
              <w:marBottom w:val="0"/>
              <w:divBdr>
                <w:top w:val="none" w:sz="0" w:space="0" w:color="auto"/>
                <w:left w:val="none" w:sz="0" w:space="0" w:color="auto"/>
                <w:bottom w:val="none" w:sz="0" w:space="0" w:color="auto"/>
                <w:right w:val="none" w:sz="0" w:space="0" w:color="auto"/>
              </w:divBdr>
            </w:div>
          </w:divsChild>
        </w:div>
        <w:div w:id="972565570">
          <w:marLeft w:val="0"/>
          <w:marRight w:val="0"/>
          <w:marTop w:val="0"/>
          <w:marBottom w:val="0"/>
          <w:divBdr>
            <w:top w:val="none" w:sz="0" w:space="0" w:color="auto"/>
            <w:left w:val="none" w:sz="0" w:space="0" w:color="auto"/>
            <w:bottom w:val="none" w:sz="0" w:space="0" w:color="auto"/>
            <w:right w:val="none" w:sz="0" w:space="0" w:color="auto"/>
          </w:divBdr>
          <w:divsChild>
            <w:div w:id="408768949">
              <w:marLeft w:val="0"/>
              <w:marRight w:val="0"/>
              <w:marTop w:val="0"/>
              <w:marBottom w:val="0"/>
              <w:divBdr>
                <w:top w:val="none" w:sz="0" w:space="0" w:color="auto"/>
                <w:left w:val="none" w:sz="0" w:space="0" w:color="auto"/>
                <w:bottom w:val="none" w:sz="0" w:space="0" w:color="auto"/>
                <w:right w:val="none" w:sz="0" w:space="0" w:color="auto"/>
              </w:divBdr>
            </w:div>
          </w:divsChild>
        </w:div>
        <w:div w:id="349768864">
          <w:marLeft w:val="0"/>
          <w:marRight w:val="0"/>
          <w:marTop w:val="0"/>
          <w:marBottom w:val="0"/>
          <w:divBdr>
            <w:top w:val="none" w:sz="0" w:space="0" w:color="auto"/>
            <w:left w:val="none" w:sz="0" w:space="0" w:color="auto"/>
            <w:bottom w:val="none" w:sz="0" w:space="0" w:color="auto"/>
            <w:right w:val="none" w:sz="0" w:space="0" w:color="auto"/>
          </w:divBdr>
          <w:divsChild>
            <w:div w:id="2051176080">
              <w:marLeft w:val="0"/>
              <w:marRight w:val="0"/>
              <w:marTop w:val="0"/>
              <w:marBottom w:val="0"/>
              <w:divBdr>
                <w:top w:val="none" w:sz="0" w:space="0" w:color="auto"/>
                <w:left w:val="none" w:sz="0" w:space="0" w:color="auto"/>
                <w:bottom w:val="none" w:sz="0" w:space="0" w:color="auto"/>
                <w:right w:val="none" w:sz="0" w:space="0" w:color="auto"/>
              </w:divBdr>
            </w:div>
          </w:divsChild>
        </w:div>
        <w:div w:id="161900560">
          <w:marLeft w:val="0"/>
          <w:marRight w:val="0"/>
          <w:marTop w:val="0"/>
          <w:marBottom w:val="0"/>
          <w:divBdr>
            <w:top w:val="none" w:sz="0" w:space="0" w:color="auto"/>
            <w:left w:val="none" w:sz="0" w:space="0" w:color="auto"/>
            <w:bottom w:val="none" w:sz="0" w:space="0" w:color="auto"/>
            <w:right w:val="none" w:sz="0" w:space="0" w:color="auto"/>
          </w:divBdr>
          <w:divsChild>
            <w:div w:id="1752699732">
              <w:marLeft w:val="0"/>
              <w:marRight w:val="0"/>
              <w:marTop w:val="0"/>
              <w:marBottom w:val="0"/>
              <w:divBdr>
                <w:top w:val="none" w:sz="0" w:space="0" w:color="auto"/>
                <w:left w:val="none" w:sz="0" w:space="0" w:color="auto"/>
                <w:bottom w:val="none" w:sz="0" w:space="0" w:color="auto"/>
                <w:right w:val="none" w:sz="0" w:space="0" w:color="auto"/>
              </w:divBdr>
            </w:div>
          </w:divsChild>
        </w:div>
        <w:div w:id="592008864">
          <w:marLeft w:val="0"/>
          <w:marRight w:val="0"/>
          <w:marTop w:val="0"/>
          <w:marBottom w:val="0"/>
          <w:divBdr>
            <w:top w:val="none" w:sz="0" w:space="0" w:color="auto"/>
            <w:left w:val="none" w:sz="0" w:space="0" w:color="auto"/>
            <w:bottom w:val="none" w:sz="0" w:space="0" w:color="auto"/>
            <w:right w:val="none" w:sz="0" w:space="0" w:color="auto"/>
          </w:divBdr>
          <w:divsChild>
            <w:div w:id="1400982604">
              <w:marLeft w:val="0"/>
              <w:marRight w:val="0"/>
              <w:marTop w:val="0"/>
              <w:marBottom w:val="0"/>
              <w:divBdr>
                <w:top w:val="none" w:sz="0" w:space="0" w:color="auto"/>
                <w:left w:val="none" w:sz="0" w:space="0" w:color="auto"/>
                <w:bottom w:val="none" w:sz="0" w:space="0" w:color="auto"/>
                <w:right w:val="none" w:sz="0" w:space="0" w:color="auto"/>
              </w:divBdr>
            </w:div>
          </w:divsChild>
        </w:div>
        <w:div w:id="369262458">
          <w:marLeft w:val="0"/>
          <w:marRight w:val="0"/>
          <w:marTop w:val="0"/>
          <w:marBottom w:val="0"/>
          <w:divBdr>
            <w:top w:val="none" w:sz="0" w:space="0" w:color="auto"/>
            <w:left w:val="none" w:sz="0" w:space="0" w:color="auto"/>
            <w:bottom w:val="none" w:sz="0" w:space="0" w:color="auto"/>
            <w:right w:val="none" w:sz="0" w:space="0" w:color="auto"/>
          </w:divBdr>
          <w:divsChild>
            <w:div w:id="1452043983">
              <w:marLeft w:val="0"/>
              <w:marRight w:val="0"/>
              <w:marTop w:val="0"/>
              <w:marBottom w:val="0"/>
              <w:divBdr>
                <w:top w:val="none" w:sz="0" w:space="0" w:color="auto"/>
                <w:left w:val="none" w:sz="0" w:space="0" w:color="auto"/>
                <w:bottom w:val="none" w:sz="0" w:space="0" w:color="auto"/>
                <w:right w:val="none" w:sz="0" w:space="0" w:color="auto"/>
              </w:divBdr>
            </w:div>
          </w:divsChild>
        </w:div>
        <w:div w:id="472988400">
          <w:marLeft w:val="0"/>
          <w:marRight w:val="0"/>
          <w:marTop w:val="0"/>
          <w:marBottom w:val="0"/>
          <w:divBdr>
            <w:top w:val="none" w:sz="0" w:space="0" w:color="auto"/>
            <w:left w:val="none" w:sz="0" w:space="0" w:color="auto"/>
            <w:bottom w:val="none" w:sz="0" w:space="0" w:color="auto"/>
            <w:right w:val="none" w:sz="0" w:space="0" w:color="auto"/>
          </w:divBdr>
          <w:divsChild>
            <w:div w:id="327830254">
              <w:marLeft w:val="0"/>
              <w:marRight w:val="0"/>
              <w:marTop w:val="0"/>
              <w:marBottom w:val="0"/>
              <w:divBdr>
                <w:top w:val="none" w:sz="0" w:space="0" w:color="auto"/>
                <w:left w:val="none" w:sz="0" w:space="0" w:color="auto"/>
                <w:bottom w:val="none" w:sz="0" w:space="0" w:color="auto"/>
                <w:right w:val="none" w:sz="0" w:space="0" w:color="auto"/>
              </w:divBdr>
            </w:div>
          </w:divsChild>
        </w:div>
        <w:div w:id="739443358">
          <w:marLeft w:val="0"/>
          <w:marRight w:val="0"/>
          <w:marTop w:val="0"/>
          <w:marBottom w:val="0"/>
          <w:divBdr>
            <w:top w:val="none" w:sz="0" w:space="0" w:color="auto"/>
            <w:left w:val="none" w:sz="0" w:space="0" w:color="auto"/>
            <w:bottom w:val="none" w:sz="0" w:space="0" w:color="auto"/>
            <w:right w:val="none" w:sz="0" w:space="0" w:color="auto"/>
          </w:divBdr>
          <w:divsChild>
            <w:div w:id="870923443">
              <w:marLeft w:val="0"/>
              <w:marRight w:val="0"/>
              <w:marTop w:val="0"/>
              <w:marBottom w:val="0"/>
              <w:divBdr>
                <w:top w:val="none" w:sz="0" w:space="0" w:color="auto"/>
                <w:left w:val="none" w:sz="0" w:space="0" w:color="auto"/>
                <w:bottom w:val="none" w:sz="0" w:space="0" w:color="auto"/>
                <w:right w:val="none" w:sz="0" w:space="0" w:color="auto"/>
              </w:divBdr>
            </w:div>
          </w:divsChild>
        </w:div>
        <w:div w:id="933591135">
          <w:marLeft w:val="0"/>
          <w:marRight w:val="0"/>
          <w:marTop w:val="0"/>
          <w:marBottom w:val="0"/>
          <w:divBdr>
            <w:top w:val="none" w:sz="0" w:space="0" w:color="auto"/>
            <w:left w:val="none" w:sz="0" w:space="0" w:color="auto"/>
            <w:bottom w:val="none" w:sz="0" w:space="0" w:color="auto"/>
            <w:right w:val="none" w:sz="0" w:space="0" w:color="auto"/>
          </w:divBdr>
          <w:divsChild>
            <w:div w:id="1603801200">
              <w:marLeft w:val="0"/>
              <w:marRight w:val="0"/>
              <w:marTop w:val="0"/>
              <w:marBottom w:val="0"/>
              <w:divBdr>
                <w:top w:val="none" w:sz="0" w:space="0" w:color="auto"/>
                <w:left w:val="none" w:sz="0" w:space="0" w:color="auto"/>
                <w:bottom w:val="none" w:sz="0" w:space="0" w:color="auto"/>
                <w:right w:val="none" w:sz="0" w:space="0" w:color="auto"/>
              </w:divBdr>
            </w:div>
          </w:divsChild>
        </w:div>
        <w:div w:id="841430621">
          <w:marLeft w:val="0"/>
          <w:marRight w:val="0"/>
          <w:marTop w:val="0"/>
          <w:marBottom w:val="0"/>
          <w:divBdr>
            <w:top w:val="none" w:sz="0" w:space="0" w:color="auto"/>
            <w:left w:val="none" w:sz="0" w:space="0" w:color="auto"/>
            <w:bottom w:val="none" w:sz="0" w:space="0" w:color="auto"/>
            <w:right w:val="none" w:sz="0" w:space="0" w:color="auto"/>
          </w:divBdr>
          <w:divsChild>
            <w:div w:id="78718363">
              <w:marLeft w:val="0"/>
              <w:marRight w:val="0"/>
              <w:marTop w:val="0"/>
              <w:marBottom w:val="0"/>
              <w:divBdr>
                <w:top w:val="none" w:sz="0" w:space="0" w:color="auto"/>
                <w:left w:val="none" w:sz="0" w:space="0" w:color="auto"/>
                <w:bottom w:val="none" w:sz="0" w:space="0" w:color="auto"/>
                <w:right w:val="none" w:sz="0" w:space="0" w:color="auto"/>
              </w:divBdr>
            </w:div>
          </w:divsChild>
        </w:div>
        <w:div w:id="1802920983">
          <w:marLeft w:val="0"/>
          <w:marRight w:val="0"/>
          <w:marTop w:val="0"/>
          <w:marBottom w:val="0"/>
          <w:divBdr>
            <w:top w:val="none" w:sz="0" w:space="0" w:color="auto"/>
            <w:left w:val="none" w:sz="0" w:space="0" w:color="auto"/>
            <w:bottom w:val="none" w:sz="0" w:space="0" w:color="auto"/>
            <w:right w:val="none" w:sz="0" w:space="0" w:color="auto"/>
          </w:divBdr>
          <w:divsChild>
            <w:div w:id="479422627">
              <w:marLeft w:val="0"/>
              <w:marRight w:val="0"/>
              <w:marTop w:val="0"/>
              <w:marBottom w:val="0"/>
              <w:divBdr>
                <w:top w:val="none" w:sz="0" w:space="0" w:color="auto"/>
                <w:left w:val="none" w:sz="0" w:space="0" w:color="auto"/>
                <w:bottom w:val="none" w:sz="0" w:space="0" w:color="auto"/>
                <w:right w:val="none" w:sz="0" w:space="0" w:color="auto"/>
              </w:divBdr>
            </w:div>
          </w:divsChild>
        </w:div>
        <w:div w:id="1959987564">
          <w:marLeft w:val="0"/>
          <w:marRight w:val="0"/>
          <w:marTop w:val="0"/>
          <w:marBottom w:val="0"/>
          <w:divBdr>
            <w:top w:val="none" w:sz="0" w:space="0" w:color="auto"/>
            <w:left w:val="none" w:sz="0" w:space="0" w:color="auto"/>
            <w:bottom w:val="none" w:sz="0" w:space="0" w:color="auto"/>
            <w:right w:val="none" w:sz="0" w:space="0" w:color="auto"/>
          </w:divBdr>
          <w:divsChild>
            <w:div w:id="2082212481">
              <w:marLeft w:val="0"/>
              <w:marRight w:val="0"/>
              <w:marTop w:val="0"/>
              <w:marBottom w:val="0"/>
              <w:divBdr>
                <w:top w:val="none" w:sz="0" w:space="0" w:color="auto"/>
                <w:left w:val="none" w:sz="0" w:space="0" w:color="auto"/>
                <w:bottom w:val="none" w:sz="0" w:space="0" w:color="auto"/>
                <w:right w:val="none" w:sz="0" w:space="0" w:color="auto"/>
              </w:divBdr>
            </w:div>
          </w:divsChild>
        </w:div>
        <w:div w:id="1859343884">
          <w:marLeft w:val="0"/>
          <w:marRight w:val="0"/>
          <w:marTop w:val="0"/>
          <w:marBottom w:val="0"/>
          <w:divBdr>
            <w:top w:val="none" w:sz="0" w:space="0" w:color="auto"/>
            <w:left w:val="none" w:sz="0" w:space="0" w:color="auto"/>
            <w:bottom w:val="none" w:sz="0" w:space="0" w:color="auto"/>
            <w:right w:val="none" w:sz="0" w:space="0" w:color="auto"/>
          </w:divBdr>
          <w:divsChild>
            <w:div w:id="20320487">
              <w:marLeft w:val="0"/>
              <w:marRight w:val="0"/>
              <w:marTop w:val="0"/>
              <w:marBottom w:val="0"/>
              <w:divBdr>
                <w:top w:val="none" w:sz="0" w:space="0" w:color="auto"/>
                <w:left w:val="none" w:sz="0" w:space="0" w:color="auto"/>
                <w:bottom w:val="none" w:sz="0" w:space="0" w:color="auto"/>
                <w:right w:val="none" w:sz="0" w:space="0" w:color="auto"/>
              </w:divBdr>
            </w:div>
          </w:divsChild>
        </w:div>
        <w:div w:id="437794500">
          <w:marLeft w:val="0"/>
          <w:marRight w:val="0"/>
          <w:marTop w:val="0"/>
          <w:marBottom w:val="0"/>
          <w:divBdr>
            <w:top w:val="none" w:sz="0" w:space="0" w:color="auto"/>
            <w:left w:val="none" w:sz="0" w:space="0" w:color="auto"/>
            <w:bottom w:val="none" w:sz="0" w:space="0" w:color="auto"/>
            <w:right w:val="none" w:sz="0" w:space="0" w:color="auto"/>
          </w:divBdr>
          <w:divsChild>
            <w:div w:id="479225847">
              <w:marLeft w:val="0"/>
              <w:marRight w:val="0"/>
              <w:marTop w:val="0"/>
              <w:marBottom w:val="0"/>
              <w:divBdr>
                <w:top w:val="none" w:sz="0" w:space="0" w:color="auto"/>
                <w:left w:val="none" w:sz="0" w:space="0" w:color="auto"/>
                <w:bottom w:val="none" w:sz="0" w:space="0" w:color="auto"/>
                <w:right w:val="none" w:sz="0" w:space="0" w:color="auto"/>
              </w:divBdr>
            </w:div>
          </w:divsChild>
        </w:div>
        <w:div w:id="1828663438">
          <w:marLeft w:val="0"/>
          <w:marRight w:val="0"/>
          <w:marTop w:val="0"/>
          <w:marBottom w:val="0"/>
          <w:divBdr>
            <w:top w:val="none" w:sz="0" w:space="0" w:color="auto"/>
            <w:left w:val="none" w:sz="0" w:space="0" w:color="auto"/>
            <w:bottom w:val="none" w:sz="0" w:space="0" w:color="auto"/>
            <w:right w:val="none" w:sz="0" w:space="0" w:color="auto"/>
          </w:divBdr>
          <w:divsChild>
            <w:div w:id="305086872">
              <w:marLeft w:val="0"/>
              <w:marRight w:val="0"/>
              <w:marTop w:val="0"/>
              <w:marBottom w:val="0"/>
              <w:divBdr>
                <w:top w:val="none" w:sz="0" w:space="0" w:color="auto"/>
                <w:left w:val="none" w:sz="0" w:space="0" w:color="auto"/>
                <w:bottom w:val="none" w:sz="0" w:space="0" w:color="auto"/>
                <w:right w:val="none" w:sz="0" w:space="0" w:color="auto"/>
              </w:divBdr>
            </w:div>
          </w:divsChild>
        </w:div>
        <w:div w:id="456414358">
          <w:marLeft w:val="0"/>
          <w:marRight w:val="0"/>
          <w:marTop w:val="0"/>
          <w:marBottom w:val="0"/>
          <w:divBdr>
            <w:top w:val="none" w:sz="0" w:space="0" w:color="auto"/>
            <w:left w:val="none" w:sz="0" w:space="0" w:color="auto"/>
            <w:bottom w:val="none" w:sz="0" w:space="0" w:color="auto"/>
            <w:right w:val="none" w:sz="0" w:space="0" w:color="auto"/>
          </w:divBdr>
          <w:divsChild>
            <w:div w:id="1064795672">
              <w:marLeft w:val="0"/>
              <w:marRight w:val="0"/>
              <w:marTop w:val="0"/>
              <w:marBottom w:val="0"/>
              <w:divBdr>
                <w:top w:val="none" w:sz="0" w:space="0" w:color="auto"/>
                <w:left w:val="none" w:sz="0" w:space="0" w:color="auto"/>
                <w:bottom w:val="none" w:sz="0" w:space="0" w:color="auto"/>
                <w:right w:val="none" w:sz="0" w:space="0" w:color="auto"/>
              </w:divBdr>
            </w:div>
          </w:divsChild>
        </w:div>
        <w:div w:id="1038428935">
          <w:marLeft w:val="0"/>
          <w:marRight w:val="0"/>
          <w:marTop w:val="0"/>
          <w:marBottom w:val="0"/>
          <w:divBdr>
            <w:top w:val="none" w:sz="0" w:space="0" w:color="auto"/>
            <w:left w:val="none" w:sz="0" w:space="0" w:color="auto"/>
            <w:bottom w:val="none" w:sz="0" w:space="0" w:color="auto"/>
            <w:right w:val="none" w:sz="0" w:space="0" w:color="auto"/>
          </w:divBdr>
          <w:divsChild>
            <w:div w:id="522204696">
              <w:marLeft w:val="0"/>
              <w:marRight w:val="0"/>
              <w:marTop w:val="0"/>
              <w:marBottom w:val="0"/>
              <w:divBdr>
                <w:top w:val="none" w:sz="0" w:space="0" w:color="auto"/>
                <w:left w:val="none" w:sz="0" w:space="0" w:color="auto"/>
                <w:bottom w:val="none" w:sz="0" w:space="0" w:color="auto"/>
                <w:right w:val="none" w:sz="0" w:space="0" w:color="auto"/>
              </w:divBdr>
            </w:div>
          </w:divsChild>
        </w:div>
        <w:div w:id="2089959418">
          <w:marLeft w:val="0"/>
          <w:marRight w:val="0"/>
          <w:marTop w:val="0"/>
          <w:marBottom w:val="0"/>
          <w:divBdr>
            <w:top w:val="none" w:sz="0" w:space="0" w:color="auto"/>
            <w:left w:val="none" w:sz="0" w:space="0" w:color="auto"/>
            <w:bottom w:val="none" w:sz="0" w:space="0" w:color="auto"/>
            <w:right w:val="none" w:sz="0" w:space="0" w:color="auto"/>
          </w:divBdr>
          <w:divsChild>
            <w:div w:id="1262762939">
              <w:marLeft w:val="0"/>
              <w:marRight w:val="0"/>
              <w:marTop w:val="0"/>
              <w:marBottom w:val="0"/>
              <w:divBdr>
                <w:top w:val="none" w:sz="0" w:space="0" w:color="auto"/>
                <w:left w:val="none" w:sz="0" w:space="0" w:color="auto"/>
                <w:bottom w:val="none" w:sz="0" w:space="0" w:color="auto"/>
                <w:right w:val="none" w:sz="0" w:space="0" w:color="auto"/>
              </w:divBdr>
            </w:div>
          </w:divsChild>
        </w:div>
        <w:div w:id="1981690522">
          <w:marLeft w:val="0"/>
          <w:marRight w:val="0"/>
          <w:marTop w:val="0"/>
          <w:marBottom w:val="0"/>
          <w:divBdr>
            <w:top w:val="none" w:sz="0" w:space="0" w:color="auto"/>
            <w:left w:val="none" w:sz="0" w:space="0" w:color="auto"/>
            <w:bottom w:val="none" w:sz="0" w:space="0" w:color="auto"/>
            <w:right w:val="none" w:sz="0" w:space="0" w:color="auto"/>
          </w:divBdr>
          <w:divsChild>
            <w:div w:id="83690843">
              <w:marLeft w:val="0"/>
              <w:marRight w:val="0"/>
              <w:marTop w:val="0"/>
              <w:marBottom w:val="0"/>
              <w:divBdr>
                <w:top w:val="none" w:sz="0" w:space="0" w:color="auto"/>
                <w:left w:val="none" w:sz="0" w:space="0" w:color="auto"/>
                <w:bottom w:val="none" w:sz="0" w:space="0" w:color="auto"/>
                <w:right w:val="none" w:sz="0" w:space="0" w:color="auto"/>
              </w:divBdr>
            </w:div>
          </w:divsChild>
        </w:div>
        <w:div w:id="286161191">
          <w:marLeft w:val="0"/>
          <w:marRight w:val="0"/>
          <w:marTop w:val="0"/>
          <w:marBottom w:val="0"/>
          <w:divBdr>
            <w:top w:val="none" w:sz="0" w:space="0" w:color="auto"/>
            <w:left w:val="none" w:sz="0" w:space="0" w:color="auto"/>
            <w:bottom w:val="none" w:sz="0" w:space="0" w:color="auto"/>
            <w:right w:val="none" w:sz="0" w:space="0" w:color="auto"/>
          </w:divBdr>
          <w:divsChild>
            <w:div w:id="1745372572">
              <w:marLeft w:val="0"/>
              <w:marRight w:val="0"/>
              <w:marTop w:val="0"/>
              <w:marBottom w:val="0"/>
              <w:divBdr>
                <w:top w:val="none" w:sz="0" w:space="0" w:color="auto"/>
                <w:left w:val="none" w:sz="0" w:space="0" w:color="auto"/>
                <w:bottom w:val="none" w:sz="0" w:space="0" w:color="auto"/>
                <w:right w:val="none" w:sz="0" w:space="0" w:color="auto"/>
              </w:divBdr>
            </w:div>
          </w:divsChild>
        </w:div>
        <w:div w:id="1408187281">
          <w:marLeft w:val="0"/>
          <w:marRight w:val="0"/>
          <w:marTop w:val="0"/>
          <w:marBottom w:val="0"/>
          <w:divBdr>
            <w:top w:val="none" w:sz="0" w:space="0" w:color="auto"/>
            <w:left w:val="none" w:sz="0" w:space="0" w:color="auto"/>
            <w:bottom w:val="none" w:sz="0" w:space="0" w:color="auto"/>
            <w:right w:val="none" w:sz="0" w:space="0" w:color="auto"/>
          </w:divBdr>
          <w:divsChild>
            <w:div w:id="1847283423">
              <w:marLeft w:val="0"/>
              <w:marRight w:val="0"/>
              <w:marTop w:val="0"/>
              <w:marBottom w:val="0"/>
              <w:divBdr>
                <w:top w:val="none" w:sz="0" w:space="0" w:color="auto"/>
                <w:left w:val="none" w:sz="0" w:space="0" w:color="auto"/>
                <w:bottom w:val="none" w:sz="0" w:space="0" w:color="auto"/>
                <w:right w:val="none" w:sz="0" w:space="0" w:color="auto"/>
              </w:divBdr>
            </w:div>
          </w:divsChild>
        </w:div>
        <w:div w:id="472676037">
          <w:marLeft w:val="0"/>
          <w:marRight w:val="0"/>
          <w:marTop w:val="0"/>
          <w:marBottom w:val="0"/>
          <w:divBdr>
            <w:top w:val="none" w:sz="0" w:space="0" w:color="auto"/>
            <w:left w:val="none" w:sz="0" w:space="0" w:color="auto"/>
            <w:bottom w:val="none" w:sz="0" w:space="0" w:color="auto"/>
            <w:right w:val="none" w:sz="0" w:space="0" w:color="auto"/>
          </w:divBdr>
          <w:divsChild>
            <w:div w:id="1203441375">
              <w:marLeft w:val="0"/>
              <w:marRight w:val="0"/>
              <w:marTop w:val="0"/>
              <w:marBottom w:val="0"/>
              <w:divBdr>
                <w:top w:val="none" w:sz="0" w:space="0" w:color="auto"/>
                <w:left w:val="none" w:sz="0" w:space="0" w:color="auto"/>
                <w:bottom w:val="none" w:sz="0" w:space="0" w:color="auto"/>
                <w:right w:val="none" w:sz="0" w:space="0" w:color="auto"/>
              </w:divBdr>
            </w:div>
          </w:divsChild>
        </w:div>
        <w:div w:id="290287458">
          <w:marLeft w:val="0"/>
          <w:marRight w:val="0"/>
          <w:marTop w:val="0"/>
          <w:marBottom w:val="0"/>
          <w:divBdr>
            <w:top w:val="none" w:sz="0" w:space="0" w:color="auto"/>
            <w:left w:val="none" w:sz="0" w:space="0" w:color="auto"/>
            <w:bottom w:val="none" w:sz="0" w:space="0" w:color="auto"/>
            <w:right w:val="none" w:sz="0" w:space="0" w:color="auto"/>
          </w:divBdr>
          <w:divsChild>
            <w:div w:id="116533354">
              <w:marLeft w:val="0"/>
              <w:marRight w:val="0"/>
              <w:marTop w:val="0"/>
              <w:marBottom w:val="0"/>
              <w:divBdr>
                <w:top w:val="none" w:sz="0" w:space="0" w:color="auto"/>
                <w:left w:val="none" w:sz="0" w:space="0" w:color="auto"/>
                <w:bottom w:val="none" w:sz="0" w:space="0" w:color="auto"/>
                <w:right w:val="none" w:sz="0" w:space="0" w:color="auto"/>
              </w:divBdr>
            </w:div>
          </w:divsChild>
        </w:div>
        <w:div w:id="1407071308">
          <w:marLeft w:val="0"/>
          <w:marRight w:val="0"/>
          <w:marTop w:val="0"/>
          <w:marBottom w:val="0"/>
          <w:divBdr>
            <w:top w:val="none" w:sz="0" w:space="0" w:color="auto"/>
            <w:left w:val="none" w:sz="0" w:space="0" w:color="auto"/>
            <w:bottom w:val="none" w:sz="0" w:space="0" w:color="auto"/>
            <w:right w:val="none" w:sz="0" w:space="0" w:color="auto"/>
          </w:divBdr>
          <w:divsChild>
            <w:div w:id="1028407039">
              <w:marLeft w:val="0"/>
              <w:marRight w:val="0"/>
              <w:marTop w:val="0"/>
              <w:marBottom w:val="0"/>
              <w:divBdr>
                <w:top w:val="none" w:sz="0" w:space="0" w:color="auto"/>
                <w:left w:val="none" w:sz="0" w:space="0" w:color="auto"/>
                <w:bottom w:val="none" w:sz="0" w:space="0" w:color="auto"/>
                <w:right w:val="none" w:sz="0" w:space="0" w:color="auto"/>
              </w:divBdr>
            </w:div>
          </w:divsChild>
        </w:div>
        <w:div w:id="91439994">
          <w:marLeft w:val="0"/>
          <w:marRight w:val="0"/>
          <w:marTop w:val="0"/>
          <w:marBottom w:val="0"/>
          <w:divBdr>
            <w:top w:val="none" w:sz="0" w:space="0" w:color="auto"/>
            <w:left w:val="none" w:sz="0" w:space="0" w:color="auto"/>
            <w:bottom w:val="none" w:sz="0" w:space="0" w:color="auto"/>
            <w:right w:val="none" w:sz="0" w:space="0" w:color="auto"/>
          </w:divBdr>
          <w:divsChild>
            <w:div w:id="1468469393">
              <w:marLeft w:val="0"/>
              <w:marRight w:val="0"/>
              <w:marTop w:val="0"/>
              <w:marBottom w:val="0"/>
              <w:divBdr>
                <w:top w:val="none" w:sz="0" w:space="0" w:color="auto"/>
                <w:left w:val="none" w:sz="0" w:space="0" w:color="auto"/>
                <w:bottom w:val="none" w:sz="0" w:space="0" w:color="auto"/>
                <w:right w:val="none" w:sz="0" w:space="0" w:color="auto"/>
              </w:divBdr>
            </w:div>
          </w:divsChild>
        </w:div>
        <w:div w:id="433135337">
          <w:marLeft w:val="0"/>
          <w:marRight w:val="0"/>
          <w:marTop w:val="0"/>
          <w:marBottom w:val="0"/>
          <w:divBdr>
            <w:top w:val="none" w:sz="0" w:space="0" w:color="auto"/>
            <w:left w:val="none" w:sz="0" w:space="0" w:color="auto"/>
            <w:bottom w:val="none" w:sz="0" w:space="0" w:color="auto"/>
            <w:right w:val="none" w:sz="0" w:space="0" w:color="auto"/>
          </w:divBdr>
          <w:divsChild>
            <w:div w:id="910580483">
              <w:marLeft w:val="0"/>
              <w:marRight w:val="0"/>
              <w:marTop w:val="0"/>
              <w:marBottom w:val="0"/>
              <w:divBdr>
                <w:top w:val="none" w:sz="0" w:space="0" w:color="auto"/>
                <w:left w:val="none" w:sz="0" w:space="0" w:color="auto"/>
                <w:bottom w:val="none" w:sz="0" w:space="0" w:color="auto"/>
                <w:right w:val="none" w:sz="0" w:space="0" w:color="auto"/>
              </w:divBdr>
            </w:div>
          </w:divsChild>
        </w:div>
        <w:div w:id="456605509">
          <w:marLeft w:val="0"/>
          <w:marRight w:val="0"/>
          <w:marTop w:val="0"/>
          <w:marBottom w:val="0"/>
          <w:divBdr>
            <w:top w:val="none" w:sz="0" w:space="0" w:color="auto"/>
            <w:left w:val="none" w:sz="0" w:space="0" w:color="auto"/>
            <w:bottom w:val="none" w:sz="0" w:space="0" w:color="auto"/>
            <w:right w:val="none" w:sz="0" w:space="0" w:color="auto"/>
          </w:divBdr>
          <w:divsChild>
            <w:div w:id="1329401064">
              <w:marLeft w:val="0"/>
              <w:marRight w:val="0"/>
              <w:marTop w:val="0"/>
              <w:marBottom w:val="0"/>
              <w:divBdr>
                <w:top w:val="none" w:sz="0" w:space="0" w:color="auto"/>
                <w:left w:val="none" w:sz="0" w:space="0" w:color="auto"/>
                <w:bottom w:val="none" w:sz="0" w:space="0" w:color="auto"/>
                <w:right w:val="none" w:sz="0" w:space="0" w:color="auto"/>
              </w:divBdr>
            </w:div>
          </w:divsChild>
        </w:div>
        <w:div w:id="1583950579">
          <w:marLeft w:val="0"/>
          <w:marRight w:val="0"/>
          <w:marTop w:val="0"/>
          <w:marBottom w:val="0"/>
          <w:divBdr>
            <w:top w:val="none" w:sz="0" w:space="0" w:color="auto"/>
            <w:left w:val="none" w:sz="0" w:space="0" w:color="auto"/>
            <w:bottom w:val="none" w:sz="0" w:space="0" w:color="auto"/>
            <w:right w:val="none" w:sz="0" w:space="0" w:color="auto"/>
          </w:divBdr>
          <w:divsChild>
            <w:div w:id="1637711837">
              <w:marLeft w:val="0"/>
              <w:marRight w:val="0"/>
              <w:marTop w:val="0"/>
              <w:marBottom w:val="0"/>
              <w:divBdr>
                <w:top w:val="none" w:sz="0" w:space="0" w:color="auto"/>
                <w:left w:val="none" w:sz="0" w:space="0" w:color="auto"/>
                <w:bottom w:val="none" w:sz="0" w:space="0" w:color="auto"/>
                <w:right w:val="none" w:sz="0" w:space="0" w:color="auto"/>
              </w:divBdr>
            </w:div>
          </w:divsChild>
        </w:div>
        <w:div w:id="1115248579">
          <w:marLeft w:val="0"/>
          <w:marRight w:val="0"/>
          <w:marTop w:val="0"/>
          <w:marBottom w:val="0"/>
          <w:divBdr>
            <w:top w:val="none" w:sz="0" w:space="0" w:color="auto"/>
            <w:left w:val="none" w:sz="0" w:space="0" w:color="auto"/>
            <w:bottom w:val="none" w:sz="0" w:space="0" w:color="auto"/>
            <w:right w:val="none" w:sz="0" w:space="0" w:color="auto"/>
          </w:divBdr>
          <w:divsChild>
            <w:div w:id="1310205336">
              <w:marLeft w:val="0"/>
              <w:marRight w:val="0"/>
              <w:marTop w:val="0"/>
              <w:marBottom w:val="0"/>
              <w:divBdr>
                <w:top w:val="none" w:sz="0" w:space="0" w:color="auto"/>
                <w:left w:val="none" w:sz="0" w:space="0" w:color="auto"/>
                <w:bottom w:val="none" w:sz="0" w:space="0" w:color="auto"/>
                <w:right w:val="none" w:sz="0" w:space="0" w:color="auto"/>
              </w:divBdr>
            </w:div>
          </w:divsChild>
        </w:div>
        <w:div w:id="1528330253">
          <w:marLeft w:val="0"/>
          <w:marRight w:val="0"/>
          <w:marTop w:val="0"/>
          <w:marBottom w:val="0"/>
          <w:divBdr>
            <w:top w:val="none" w:sz="0" w:space="0" w:color="auto"/>
            <w:left w:val="none" w:sz="0" w:space="0" w:color="auto"/>
            <w:bottom w:val="none" w:sz="0" w:space="0" w:color="auto"/>
            <w:right w:val="none" w:sz="0" w:space="0" w:color="auto"/>
          </w:divBdr>
          <w:divsChild>
            <w:div w:id="2049641011">
              <w:marLeft w:val="0"/>
              <w:marRight w:val="0"/>
              <w:marTop w:val="0"/>
              <w:marBottom w:val="0"/>
              <w:divBdr>
                <w:top w:val="none" w:sz="0" w:space="0" w:color="auto"/>
                <w:left w:val="none" w:sz="0" w:space="0" w:color="auto"/>
                <w:bottom w:val="none" w:sz="0" w:space="0" w:color="auto"/>
                <w:right w:val="none" w:sz="0" w:space="0" w:color="auto"/>
              </w:divBdr>
            </w:div>
          </w:divsChild>
        </w:div>
        <w:div w:id="626086048">
          <w:marLeft w:val="0"/>
          <w:marRight w:val="0"/>
          <w:marTop w:val="0"/>
          <w:marBottom w:val="0"/>
          <w:divBdr>
            <w:top w:val="none" w:sz="0" w:space="0" w:color="auto"/>
            <w:left w:val="none" w:sz="0" w:space="0" w:color="auto"/>
            <w:bottom w:val="none" w:sz="0" w:space="0" w:color="auto"/>
            <w:right w:val="none" w:sz="0" w:space="0" w:color="auto"/>
          </w:divBdr>
          <w:divsChild>
            <w:div w:id="709576870">
              <w:marLeft w:val="0"/>
              <w:marRight w:val="0"/>
              <w:marTop w:val="0"/>
              <w:marBottom w:val="0"/>
              <w:divBdr>
                <w:top w:val="none" w:sz="0" w:space="0" w:color="auto"/>
                <w:left w:val="none" w:sz="0" w:space="0" w:color="auto"/>
                <w:bottom w:val="none" w:sz="0" w:space="0" w:color="auto"/>
                <w:right w:val="none" w:sz="0" w:space="0" w:color="auto"/>
              </w:divBdr>
            </w:div>
          </w:divsChild>
        </w:div>
        <w:div w:id="1160346318">
          <w:marLeft w:val="0"/>
          <w:marRight w:val="0"/>
          <w:marTop w:val="0"/>
          <w:marBottom w:val="0"/>
          <w:divBdr>
            <w:top w:val="none" w:sz="0" w:space="0" w:color="auto"/>
            <w:left w:val="none" w:sz="0" w:space="0" w:color="auto"/>
            <w:bottom w:val="none" w:sz="0" w:space="0" w:color="auto"/>
            <w:right w:val="none" w:sz="0" w:space="0" w:color="auto"/>
          </w:divBdr>
          <w:divsChild>
            <w:div w:id="814686579">
              <w:marLeft w:val="0"/>
              <w:marRight w:val="0"/>
              <w:marTop w:val="0"/>
              <w:marBottom w:val="0"/>
              <w:divBdr>
                <w:top w:val="none" w:sz="0" w:space="0" w:color="auto"/>
                <w:left w:val="none" w:sz="0" w:space="0" w:color="auto"/>
                <w:bottom w:val="none" w:sz="0" w:space="0" w:color="auto"/>
                <w:right w:val="none" w:sz="0" w:space="0" w:color="auto"/>
              </w:divBdr>
            </w:div>
          </w:divsChild>
        </w:div>
        <w:div w:id="2096240314">
          <w:marLeft w:val="0"/>
          <w:marRight w:val="0"/>
          <w:marTop w:val="0"/>
          <w:marBottom w:val="0"/>
          <w:divBdr>
            <w:top w:val="none" w:sz="0" w:space="0" w:color="auto"/>
            <w:left w:val="none" w:sz="0" w:space="0" w:color="auto"/>
            <w:bottom w:val="none" w:sz="0" w:space="0" w:color="auto"/>
            <w:right w:val="none" w:sz="0" w:space="0" w:color="auto"/>
          </w:divBdr>
          <w:divsChild>
            <w:div w:id="1251890872">
              <w:marLeft w:val="0"/>
              <w:marRight w:val="0"/>
              <w:marTop w:val="0"/>
              <w:marBottom w:val="0"/>
              <w:divBdr>
                <w:top w:val="none" w:sz="0" w:space="0" w:color="auto"/>
                <w:left w:val="none" w:sz="0" w:space="0" w:color="auto"/>
                <w:bottom w:val="none" w:sz="0" w:space="0" w:color="auto"/>
                <w:right w:val="none" w:sz="0" w:space="0" w:color="auto"/>
              </w:divBdr>
            </w:div>
          </w:divsChild>
        </w:div>
        <w:div w:id="460926486">
          <w:marLeft w:val="0"/>
          <w:marRight w:val="0"/>
          <w:marTop w:val="0"/>
          <w:marBottom w:val="0"/>
          <w:divBdr>
            <w:top w:val="none" w:sz="0" w:space="0" w:color="auto"/>
            <w:left w:val="none" w:sz="0" w:space="0" w:color="auto"/>
            <w:bottom w:val="none" w:sz="0" w:space="0" w:color="auto"/>
            <w:right w:val="none" w:sz="0" w:space="0" w:color="auto"/>
          </w:divBdr>
          <w:divsChild>
            <w:div w:id="1572811587">
              <w:marLeft w:val="0"/>
              <w:marRight w:val="0"/>
              <w:marTop w:val="0"/>
              <w:marBottom w:val="0"/>
              <w:divBdr>
                <w:top w:val="none" w:sz="0" w:space="0" w:color="auto"/>
                <w:left w:val="none" w:sz="0" w:space="0" w:color="auto"/>
                <w:bottom w:val="none" w:sz="0" w:space="0" w:color="auto"/>
                <w:right w:val="none" w:sz="0" w:space="0" w:color="auto"/>
              </w:divBdr>
            </w:div>
          </w:divsChild>
        </w:div>
        <w:div w:id="1369063485">
          <w:marLeft w:val="0"/>
          <w:marRight w:val="0"/>
          <w:marTop w:val="0"/>
          <w:marBottom w:val="0"/>
          <w:divBdr>
            <w:top w:val="none" w:sz="0" w:space="0" w:color="auto"/>
            <w:left w:val="none" w:sz="0" w:space="0" w:color="auto"/>
            <w:bottom w:val="none" w:sz="0" w:space="0" w:color="auto"/>
            <w:right w:val="none" w:sz="0" w:space="0" w:color="auto"/>
          </w:divBdr>
          <w:divsChild>
            <w:div w:id="78872280">
              <w:marLeft w:val="0"/>
              <w:marRight w:val="0"/>
              <w:marTop w:val="0"/>
              <w:marBottom w:val="0"/>
              <w:divBdr>
                <w:top w:val="none" w:sz="0" w:space="0" w:color="auto"/>
                <w:left w:val="none" w:sz="0" w:space="0" w:color="auto"/>
                <w:bottom w:val="none" w:sz="0" w:space="0" w:color="auto"/>
                <w:right w:val="none" w:sz="0" w:space="0" w:color="auto"/>
              </w:divBdr>
            </w:div>
          </w:divsChild>
        </w:div>
        <w:div w:id="1723091356">
          <w:marLeft w:val="0"/>
          <w:marRight w:val="0"/>
          <w:marTop w:val="0"/>
          <w:marBottom w:val="0"/>
          <w:divBdr>
            <w:top w:val="none" w:sz="0" w:space="0" w:color="auto"/>
            <w:left w:val="none" w:sz="0" w:space="0" w:color="auto"/>
            <w:bottom w:val="none" w:sz="0" w:space="0" w:color="auto"/>
            <w:right w:val="none" w:sz="0" w:space="0" w:color="auto"/>
          </w:divBdr>
          <w:divsChild>
            <w:div w:id="2037845753">
              <w:marLeft w:val="0"/>
              <w:marRight w:val="0"/>
              <w:marTop w:val="0"/>
              <w:marBottom w:val="0"/>
              <w:divBdr>
                <w:top w:val="none" w:sz="0" w:space="0" w:color="auto"/>
                <w:left w:val="none" w:sz="0" w:space="0" w:color="auto"/>
                <w:bottom w:val="none" w:sz="0" w:space="0" w:color="auto"/>
                <w:right w:val="none" w:sz="0" w:space="0" w:color="auto"/>
              </w:divBdr>
            </w:div>
          </w:divsChild>
        </w:div>
        <w:div w:id="1972858708">
          <w:marLeft w:val="0"/>
          <w:marRight w:val="0"/>
          <w:marTop w:val="0"/>
          <w:marBottom w:val="0"/>
          <w:divBdr>
            <w:top w:val="none" w:sz="0" w:space="0" w:color="auto"/>
            <w:left w:val="none" w:sz="0" w:space="0" w:color="auto"/>
            <w:bottom w:val="none" w:sz="0" w:space="0" w:color="auto"/>
            <w:right w:val="none" w:sz="0" w:space="0" w:color="auto"/>
          </w:divBdr>
          <w:divsChild>
            <w:div w:id="2082673014">
              <w:marLeft w:val="0"/>
              <w:marRight w:val="0"/>
              <w:marTop w:val="0"/>
              <w:marBottom w:val="0"/>
              <w:divBdr>
                <w:top w:val="none" w:sz="0" w:space="0" w:color="auto"/>
                <w:left w:val="none" w:sz="0" w:space="0" w:color="auto"/>
                <w:bottom w:val="none" w:sz="0" w:space="0" w:color="auto"/>
                <w:right w:val="none" w:sz="0" w:space="0" w:color="auto"/>
              </w:divBdr>
            </w:div>
          </w:divsChild>
        </w:div>
        <w:div w:id="1461262742">
          <w:marLeft w:val="0"/>
          <w:marRight w:val="0"/>
          <w:marTop w:val="0"/>
          <w:marBottom w:val="0"/>
          <w:divBdr>
            <w:top w:val="none" w:sz="0" w:space="0" w:color="auto"/>
            <w:left w:val="none" w:sz="0" w:space="0" w:color="auto"/>
            <w:bottom w:val="none" w:sz="0" w:space="0" w:color="auto"/>
            <w:right w:val="none" w:sz="0" w:space="0" w:color="auto"/>
          </w:divBdr>
          <w:divsChild>
            <w:div w:id="515996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731911">
      <w:bodyDiv w:val="1"/>
      <w:marLeft w:val="0"/>
      <w:marRight w:val="0"/>
      <w:marTop w:val="0"/>
      <w:marBottom w:val="0"/>
      <w:divBdr>
        <w:top w:val="none" w:sz="0" w:space="0" w:color="auto"/>
        <w:left w:val="none" w:sz="0" w:space="0" w:color="auto"/>
        <w:bottom w:val="none" w:sz="0" w:space="0" w:color="auto"/>
        <w:right w:val="none" w:sz="0" w:space="0" w:color="auto"/>
      </w:divBdr>
    </w:div>
    <w:div w:id="199845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xport.amlegal.com/media/49c11b8dbb42810ce85cead3bd23e0018bf3aaa0/DATAOBJECTS/0-0-0-6766.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7C96F8-2C7B-40AF-84A5-50A6BF7A0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Pages>
  <Words>1571</Words>
  <Characters>8956</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leigh kerr</dc:creator>
  <cp:keywords/>
  <dc:description/>
  <cp:lastModifiedBy>Jae Eun Kim</cp:lastModifiedBy>
  <cp:revision>4</cp:revision>
  <dcterms:created xsi:type="dcterms:W3CDTF">2021-08-12T18:13:00Z</dcterms:created>
  <dcterms:modified xsi:type="dcterms:W3CDTF">2021-08-17T22:58:00Z</dcterms:modified>
</cp:coreProperties>
</file>